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bookmarkStart w:id="0" w:name="_GoBack"/>
      <w:bookmarkEnd w:id="0"/>
      <w:r w:rsidRPr="00CE0EAD">
        <w:rPr>
          <w:rStyle w:val="BookTitle"/>
          <w:i w:val="0"/>
        </w:rPr>
        <w:t>3GPP TSG RAN WG1 Meeting #98</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0A708E">
        <w:rPr>
          <w:rStyle w:val="BookTitle"/>
          <w:i w:val="0"/>
        </w:rPr>
        <w:t xml:space="preserve">    R1-1909250</w:t>
      </w:r>
    </w:p>
    <w:p w:rsidR="00806EAC" w:rsidRPr="00CE0EAD" w:rsidRDefault="00806EAC" w:rsidP="00CD131B">
      <w:pPr>
        <w:pStyle w:val="Subtitle"/>
        <w:rPr>
          <w:rStyle w:val="BookTitle"/>
          <w:i w:val="0"/>
        </w:rPr>
      </w:pPr>
      <w:r w:rsidRPr="00CE0EAD">
        <w:rPr>
          <w:rStyle w:val="BookTitle"/>
          <w:i w:val="0"/>
        </w:rPr>
        <w:t>Prague, Czech Republic, 2</w:t>
      </w:r>
      <w:r w:rsidR="00007B6D" w:rsidRPr="00CE0EAD">
        <w:rPr>
          <w:rStyle w:val="BookTitle"/>
          <w:i w:val="0"/>
        </w:rPr>
        <w:t>6</w:t>
      </w:r>
      <w:r w:rsidR="00CD131B" w:rsidRPr="00CE0EAD">
        <w:rPr>
          <w:rStyle w:val="BookTitle"/>
          <w:i w:val="0"/>
          <w:vertAlign w:val="superscript"/>
        </w:rPr>
        <w:t>th</w:t>
      </w:r>
      <w:r w:rsidR="00CD131B" w:rsidRPr="00CE0EAD">
        <w:rPr>
          <w:rStyle w:val="BookTitle"/>
          <w:i w:val="0"/>
        </w:rPr>
        <w:t xml:space="preserve"> </w:t>
      </w:r>
      <w:r w:rsidRPr="00CE0EAD">
        <w:rPr>
          <w:rStyle w:val="BookTitle"/>
          <w:i w:val="0"/>
        </w:rPr>
        <w:t>August– 30</w:t>
      </w:r>
      <w:r w:rsidR="00CD131B" w:rsidRPr="00CE0EAD">
        <w:rPr>
          <w:rStyle w:val="BookTitle"/>
          <w:i w:val="0"/>
          <w:vertAlign w:val="superscript"/>
        </w:rPr>
        <w:t>th</w:t>
      </w:r>
      <w:r w:rsidR="00CD131B" w:rsidRPr="00CE0EAD">
        <w:rPr>
          <w:rStyle w:val="BookTitle"/>
          <w:i w:val="0"/>
        </w:rPr>
        <w:t xml:space="preserve"> </w:t>
      </w:r>
      <w:r w:rsidRPr="00CE0EAD">
        <w:rPr>
          <w:rStyle w:val="BookTitle"/>
          <w:i w:val="0"/>
        </w:rPr>
        <w:t>August 2019</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r w:rsidR="00452668">
        <w:rPr>
          <w:rStyle w:val="SubtitleChar"/>
        </w:rPr>
        <w:t>3</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8064AE" w:rsidRDefault="00806EAC" w:rsidP="00806EAC">
      <w:pPr>
        <w:pBdr>
          <w:top w:val="single" w:sz="4" w:space="1" w:color="auto"/>
          <w:bottom w:val="single" w:sz="4" w:space="1" w:color="auto"/>
        </w:pBdr>
        <w:rPr>
          <w:rStyle w:val="SubtitleChar"/>
        </w:rPr>
      </w:pPr>
      <w:r w:rsidRPr="00AF0340">
        <w:rPr>
          <w:rStyle w:val="BookTitle"/>
        </w:rPr>
        <w:t xml:space="preserve">Title: </w:t>
      </w:r>
      <w:r w:rsidRPr="008064AE">
        <w:rPr>
          <w:rStyle w:val="SubtitleChar"/>
        </w:rPr>
        <w:tab/>
      </w:r>
      <w:r w:rsidRPr="008064AE">
        <w:rPr>
          <w:rStyle w:val="SubtitleChar"/>
        </w:rPr>
        <w:tab/>
      </w:r>
      <w:r w:rsidRPr="008064AE">
        <w:rPr>
          <w:rStyle w:val="SubtitleChar"/>
        </w:rPr>
        <w:tab/>
      </w:r>
      <w:r w:rsidRPr="008064AE">
        <w:rPr>
          <w:rStyle w:val="SubtitleChar"/>
        </w:rPr>
        <w:tab/>
      </w:r>
      <w:r w:rsidR="00AF0340" w:rsidRPr="008064AE">
        <w:rPr>
          <w:rStyle w:val="SubtitleChar"/>
        </w:rPr>
        <w:tab/>
      </w:r>
      <w:r w:rsidR="008064AE" w:rsidRPr="008064AE">
        <w:rPr>
          <w:rStyle w:val="SubtitleChar"/>
        </w:rPr>
        <w:t>IAB resource management framework</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1E3173" w:rsidRDefault="005E3BAC" w:rsidP="001E3173">
      <w:r>
        <w:t xml:space="preserve">This contribution </w:t>
      </w:r>
      <w:r w:rsidR="00337257">
        <w:t>provides considerations and recommendations for the main remaining open issues for IAB resource management. Specifically, this contribution addresses the following topics:</w:t>
      </w:r>
    </w:p>
    <w:p w:rsidR="00F75349" w:rsidRDefault="00F75349" w:rsidP="00337257">
      <w:pPr>
        <w:pStyle w:val="ListParagraph"/>
        <w:numPr>
          <w:ilvl w:val="0"/>
          <w:numId w:val="5"/>
        </w:numPr>
      </w:pPr>
      <w:r>
        <w:t>DU configuration approaches</w:t>
      </w:r>
    </w:p>
    <w:p w:rsidR="00337257" w:rsidRDefault="00337257" w:rsidP="00337257">
      <w:pPr>
        <w:pStyle w:val="ListParagraph"/>
        <w:numPr>
          <w:ilvl w:val="0"/>
          <w:numId w:val="5"/>
        </w:numPr>
      </w:pPr>
      <w:r>
        <w:t>Handling of potential resource overlap at the edge of a transition between MT operation and DU operation</w:t>
      </w:r>
    </w:p>
    <w:p w:rsidR="00A51F28" w:rsidRDefault="009C206B" w:rsidP="00A51F28">
      <w:pPr>
        <w:pStyle w:val="Heading3"/>
      </w:pPr>
      <w:r>
        <w:t>DU configuration approaches</w:t>
      </w:r>
    </w:p>
    <w:p w:rsidR="00240E5D" w:rsidRDefault="00240E5D" w:rsidP="00A51F28">
      <w:r>
        <w:t xml:space="preserve">An open discussion item from RAN1 #97 </w:t>
      </w:r>
      <w:r w:rsidR="00AE6E60">
        <w:t xml:space="preserve">[1] </w:t>
      </w:r>
      <w:r>
        <w:t>relates to the semi-static configuration of the Hard (H) / Soft (S)</w:t>
      </w:r>
      <w:r w:rsidR="00CD4DFD">
        <w:t xml:space="preserve"> </w:t>
      </w:r>
      <w:r>
        <w:t>/ Not Available (NA) attribute for DU resources. Specifically, two options are to be analyzed:</w:t>
      </w:r>
    </w:p>
    <w:p w:rsidR="00A51F28" w:rsidRDefault="00240E5D" w:rsidP="00A51F28">
      <w:r w:rsidRPr="00FE61EF">
        <w:rPr>
          <w:u w:val="single"/>
        </w:rPr>
        <w:t>Alternative 1:</w:t>
      </w:r>
      <w:r>
        <w:t xml:space="preserve">  H / S / NA are explicitly indicated for each DU resource type in each slot.</w:t>
      </w:r>
    </w:p>
    <w:p w:rsidR="00240E5D" w:rsidRDefault="00240E5D" w:rsidP="00A51F28">
      <w:r w:rsidRPr="00FE61EF">
        <w:rPr>
          <w:u w:val="single"/>
        </w:rPr>
        <w:t>Alternative 2:</w:t>
      </w:r>
      <w:r>
        <w:t xml:space="preserve">  </w:t>
      </w:r>
      <w:r w:rsidRPr="00240E5D">
        <w:t>NA is explicitly indicated as a resource type in each slot for both the DU and MT configuration. H</w:t>
      </w:r>
      <w:r w:rsidR="00CD4DFD">
        <w:t xml:space="preserve"> </w:t>
      </w:r>
      <w:r w:rsidRPr="00240E5D">
        <w:t>/</w:t>
      </w:r>
      <w:r w:rsidR="00CD4DFD">
        <w:t xml:space="preserve"> </w:t>
      </w:r>
      <w:r w:rsidRPr="00240E5D">
        <w:t xml:space="preserve">S </w:t>
      </w:r>
      <w:r>
        <w:t xml:space="preserve">for the DU </w:t>
      </w:r>
      <w:r w:rsidRPr="00240E5D">
        <w:t>is not explicitly indicated, but implicitly determined by the DU based on the corresponding MT configuration</w:t>
      </w:r>
      <w:r>
        <w:t>.</w:t>
      </w:r>
      <w:r w:rsidR="00E83536">
        <w:t xml:space="preserve"> </w:t>
      </w:r>
      <w:r w:rsidR="006E0485">
        <w:t>Specifically, if</w:t>
      </w:r>
      <w:r w:rsidR="00E83536">
        <w:t xml:space="preserve"> the MT resource is marked as Available, the corresponding DU resource, if not marked NA, is marked as Soft. Similarly, if the MT resource is marked as Not Available, the corresponding DU resource, if not marked NA, is marked Hard.</w:t>
      </w:r>
    </w:p>
    <w:p w:rsidR="001F038B" w:rsidRDefault="001F038B" w:rsidP="00A51F28">
      <w:r>
        <w:t xml:space="preserve">The guidance was to </w:t>
      </w:r>
      <w:r w:rsidR="006E0485">
        <w:t>compare</w:t>
      </w:r>
      <w:r>
        <w:t xml:space="preserve"> the options at least in terms of </w:t>
      </w:r>
      <w:r w:rsidR="00EA3109">
        <w:t>signalling overhead</w:t>
      </w:r>
      <w:r w:rsidR="00EA3109">
        <w:t xml:space="preserve">, </w:t>
      </w:r>
      <w:r>
        <w:t>configuration complexity at the CU, support for inter-IAB node conflict resolution, and IAB node implementation considerations.</w:t>
      </w:r>
    </w:p>
    <w:p w:rsidR="00DC5C7D" w:rsidRDefault="0042656A" w:rsidP="00A51F28">
      <w:r>
        <w:t xml:space="preserve">From a </w:t>
      </w:r>
      <w:r w:rsidR="00B314E2">
        <w:t>DU perspective, for each DU resource, the following information is required</w:t>
      </w:r>
      <w:r w:rsidR="007017ED">
        <w:t>:</w:t>
      </w:r>
    </w:p>
    <w:p w:rsidR="00B314E2" w:rsidRDefault="00B314E2" w:rsidP="00B314E2">
      <w:pPr>
        <w:pStyle w:val="ListParagraph"/>
        <w:numPr>
          <w:ilvl w:val="0"/>
          <w:numId w:val="11"/>
        </w:numPr>
      </w:pPr>
      <w:r>
        <w:t>Alternative 1: H / S / NA attribute for the DU</w:t>
      </w:r>
      <w:r w:rsidR="00EA3109">
        <w:t>.</w:t>
      </w:r>
    </w:p>
    <w:p w:rsidR="00B314E2" w:rsidRDefault="00B314E2" w:rsidP="00B314E2">
      <w:pPr>
        <w:pStyle w:val="ListParagraph"/>
        <w:numPr>
          <w:ilvl w:val="0"/>
          <w:numId w:val="11"/>
        </w:numPr>
      </w:pPr>
      <w:r>
        <w:t>Alte</w:t>
      </w:r>
      <w:r w:rsidR="0042656A">
        <w:t xml:space="preserve">rnative 2: </w:t>
      </w:r>
      <w:r>
        <w:t>NA attribute</w:t>
      </w:r>
      <w:r w:rsidR="0042656A">
        <w:t xml:space="preserve"> for the DU </w:t>
      </w:r>
      <w:r w:rsidR="006E0485">
        <w:t>plus Available</w:t>
      </w:r>
      <w:r w:rsidR="004421B0">
        <w:t xml:space="preserve"> / Not Available bit</w:t>
      </w:r>
      <w:r w:rsidR="007017ED">
        <w:t>map for the MT</w:t>
      </w:r>
      <w:r w:rsidR="00EA3109">
        <w:t>.</w:t>
      </w:r>
    </w:p>
    <w:p w:rsidR="007017ED" w:rsidRDefault="007017ED" w:rsidP="007017ED">
      <w:r>
        <w:t>It can be observed that from a configuration overhead point of view the two approaches are essentially equivalent.</w:t>
      </w:r>
    </w:p>
    <w:p w:rsidR="007017ED" w:rsidRDefault="007017ED" w:rsidP="007017ED">
      <w:r>
        <w:t xml:space="preserve">When considering the </w:t>
      </w:r>
      <w:r w:rsidR="00E83536">
        <w:t xml:space="preserve">need for optimized resource scheduling across multiple hops, under the assumption of Alternative 1 </w:t>
      </w:r>
      <w:r w:rsidR="00800BC5">
        <w:t xml:space="preserve">(prior to RAN1 #97), </w:t>
      </w:r>
      <w:r w:rsidR="00E83536">
        <w:t xml:space="preserve">it was agreed that at least some information from the DU configuration of the children nodes to be made available to the parent DU. The minimum required information for this purpose is the location of the Hard resources of the DU of each child node. </w:t>
      </w:r>
      <w:r w:rsidR="0093397D">
        <w:t>Similarly, i</w:t>
      </w:r>
      <w:r w:rsidR="007F6787">
        <w:t>n the co</w:t>
      </w:r>
      <w:r w:rsidR="0093397D">
        <w:t>ntext of Alternative 2, the MT Available / Not-Available bitmap of each child node needs to be made available to the parent DU for scheduling purposes. It can be observed that in both cases the same amount of information about the child node DUs needs to be made available to the parent.</w:t>
      </w:r>
    </w:p>
    <w:p w:rsidR="0068749E" w:rsidRDefault="001F038B" w:rsidP="007017ED">
      <w:r>
        <w:t>It should also be noted</w:t>
      </w:r>
      <w:r w:rsidR="00800BC5">
        <w:t xml:space="preserve"> that a variation of Alternative 1 in which a per child IAB node bitmask is provided to the parent DU to indicate which resources are available to be used in a given link is also equivalent in terms of amount of information made available at a given DU (as in this case no additional information from the child DU configurations is strictly needed to achieve the optimized scheduling objective).</w:t>
      </w:r>
    </w:p>
    <w:p w:rsidR="00B53F0F" w:rsidRDefault="001F038B" w:rsidP="007017ED">
      <w:r>
        <w:t>In summary it can be observed that from a signalling overhead point of view, in terms of amount of information, all the described options above are essentially equivalent.</w:t>
      </w:r>
    </w:p>
    <w:p w:rsidR="00E8259E" w:rsidRPr="004F4239" w:rsidRDefault="00E8259E" w:rsidP="00E8259E">
      <w:pPr>
        <w:rPr>
          <w:rStyle w:val="Strong"/>
          <w:u w:val="single"/>
        </w:rPr>
      </w:pPr>
      <w:r>
        <w:rPr>
          <w:rStyle w:val="Strong"/>
          <w:u w:val="single"/>
        </w:rPr>
        <w:t>Observation 1</w:t>
      </w:r>
      <w:r w:rsidRPr="004F4239">
        <w:rPr>
          <w:rStyle w:val="Strong"/>
          <w:u w:val="single"/>
        </w:rPr>
        <w:t>:</w:t>
      </w:r>
    </w:p>
    <w:p w:rsidR="00E8259E" w:rsidRDefault="00E8259E" w:rsidP="00E8259E">
      <w:r>
        <w:rPr>
          <w:rStyle w:val="Strong"/>
        </w:rPr>
        <w:t>The evaluated DU configuration options are equivalent in terms of amount of information to be signalled.</w:t>
      </w:r>
    </w:p>
    <w:p w:rsidR="00576B43" w:rsidRDefault="00576B43" w:rsidP="007017ED">
      <w:r>
        <w:lastRenderedPageBreak/>
        <w:t>From a configuration complexity at the CU, assumed to be a measure of the complexity for the CU to identify suitable resource patterns to meet the desired system behaviour, all options appear to be equivalent</w:t>
      </w:r>
      <w:r w:rsidR="004649AE">
        <w:t>,</w:t>
      </w:r>
      <w:r>
        <w:t xml:space="preserve"> as a given resource pattern can be achieved with any of the listed alternatives. In other words</w:t>
      </w:r>
      <w:r w:rsidR="004649AE">
        <w:t>,</w:t>
      </w:r>
      <w:r>
        <w:t xml:space="preserve"> the selection of the resource pattern </w:t>
      </w:r>
      <w:r w:rsidR="004649AE">
        <w:t xml:space="preserve">by the CU </w:t>
      </w:r>
      <w:r>
        <w:t xml:space="preserve">is </w:t>
      </w:r>
      <w:r w:rsidR="004649AE">
        <w:t>not constrained in any way by</w:t>
      </w:r>
      <w:r>
        <w:t xml:space="preserve"> the method used to make such pattern available at the DU.</w:t>
      </w:r>
    </w:p>
    <w:p w:rsidR="00E8259E" w:rsidRPr="004F4239" w:rsidRDefault="00E8259E" w:rsidP="00E8259E">
      <w:pPr>
        <w:rPr>
          <w:rStyle w:val="Strong"/>
          <w:u w:val="single"/>
        </w:rPr>
      </w:pPr>
      <w:r>
        <w:rPr>
          <w:rStyle w:val="Strong"/>
          <w:u w:val="single"/>
        </w:rPr>
        <w:t>Observation 2</w:t>
      </w:r>
      <w:r w:rsidRPr="004F4239">
        <w:rPr>
          <w:rStyle w:val="Strong"/>
          <w:u w:val="single"/>
        </w:rPr>
        <w:t>:</w:t>
      </w:r>
    </w:p>
    <w:p w:rsidR="00E8259E" w:rsidRDefault="00E8259E" w:rsidP="00E8259E">
      <w:r>
        <w:rPr>
          <w:rStyle w:val="Strong"/>
        </w:rPr>
        <w:t xml:space="preserve">The evaluated DU configuration options are equivalent in terms of </w:t>
      </w:r>
      <w:r>
        <w:rPr>
          <w:rStyle w:val="Strong"/>
        </w:rPr>
        <w:t>associated configuration complexity at the CU.</w:t>
      </w:r>
    </w:p>
    <w:p w:rsidR="00AC1559" w:rsidRDefault="00CD4DFD" w:rsidP="007017ED">
      <w:r>
        <w:t>In regard to inter-</w:t>
      </w:r>
      <w:r w:rsidR="00DA421A">
        <w:t>IAB node</w:t>
      </w:r>
      <w:r>
        <w:t xml:space="preserve"> conflict resolution, there are two cases to consider:</w:t>
      </w:r>
    </w:p>
    <w:p w:rsidR="00CD4DFD" w:rsidRDefault="00CD4DFD" w:rsidP="00CD4DFD">
      <w:pPr>
        <w:pStyle w:val="ListParagraph"/>
        <w:numPr>
          <w:ilvl w:val="0"/>
          <w:numId w:val="12"/>
        </w:numPr>
      </w:pPr>
      <w:r>
        <w:t>Slot resource conflicts due to the half-duplex constraint.</w:t>
      </w:r>
    </w:p>
    <w:p w:rsidR="00CD4DFD" w:rsidRDefault="00CD4DFD" w:rsidP="00CD4DFD">
      <w:pPr>
        <w:pStyle w:val="ListParagraph"/>
        <w:numPr>
          <w:ilvl w:val="0"/>
          <w:numId w:val="12"/>
        </w:numPr>
      </w:pPr>
      <w:r>
        <w:t xml:space="preserve">Partial slot </w:t>
      </w:r>
      <w:r w:rsidR="00F75FB6">
        <w:t>conflicts during MT to DU transition (and vice versa) due to skewed slot timing between upstream and backstream links.</w:t>
      </w:r>
    </w:p>
    <w:p w:rsidR="00CF0A65" w:rsidRDefault="00BA7FB6" w:rsidP="00CF0A65">
      <w:r>
        <w:t>With respect to 1)</w:t>
      </w:r>
      <w:r w:rsidR="005954A4">
        <w:t>,</w:t>
      </w:r>
      <w:r>
        <w:t xml:space="preserve"> </w:t>
      </w:r>
      <w:r w:rsidR="005954A4">
        <w:t>none of the DU configuration options being considered precludes a specific pattern, hence the CU has full flexibility with either option. With respect to 2), there was discussion in RAN1 #97 suggesting a potential difference in the ability to deal with partial symbol conflicts in the neighbourhood of a transition from upstream link communication to downstream link communication (and vice versa). As described in section ‘</w:t>
      </w:r>
      <w:r w:rsidR="005954A4">
        <w:fldChar w:fldCharType="begin"/>
      </w:r>
      <w:r w:rsidR="005954A4">
        <w:instrText xml:space="preserve"> REF _Ref16876995 \h </w:instrText>
      </w:r>
      <w:r w:rsidR="005954A4">
        <w:fldChar w:fldCharType="separate"/>
      </w:r>
      <w:r w:rsidR="005954A4">
        <w:t>Handling of potential resource overlap at MT-to-DU and DU-to-MT transitions</w:t>
      </w:r>
      <w:r w:rsidR="005954A4">
        <w:fldChar w:fldCharType="end"/>
      </w:r>
      <w:r w:rsidR="005954A4">
        <w:t>’ the recommended approach does not have bearing on the method used for DU resource configuration.</w:t>
      </w:r>
    </w:p>
    <w:p w:rsidR="006A0DA9" w:rsidRPr="004F4239" w:rsidRDefault="006A0DA9" w:rsidP="006A0DA9">
      <w:pPr>
        <w:rPr>
          <w:rStyle w:val="Strong"/>
          <w:u w:val="single"/>
        </w:rPr>
      </w:pPr>
      <w:r>
        <w:rPr>
          <w:rStyle w:val="Strong"/>
          <w:u w:val="single"/>
        </w:rPr>
        <w:t>Observation 3</w:t>
      </w:r>
      <w:r w:rsidRPr="004F4239">
        <w:rPr>
          <w:rStyle w:val="Strong"/>
          <w:u w:val="single"/>
        </w:rPr>
        <w:t>:</w:t>
      </w:r>
    </w:p>
    <w:p w:rsidR="006A0DA9" w:rsidRDefault="006A0DA9" w:rsidP="006A0DA9">
      <w:r>
        <w:rPr>
          <w:rStyle w:val="Strong"/>
        </w:rPr>
        <w:t xml:space="preserve">The evaluated DU configuration options are equivalent in terms of </w:t>
      </w:r>
      <w:r>
        <w:rPr>
          <w:rStyle w:val="Strong"/>
        </w:rPr>
        <w:t>ability to ma</w:t>
      </w:r>
      <w:r w:rsidR="00537536">
        <w:rPr>
          <w:rStyle w:val="Strong"/>
        </w:rPr>
        <w:t xml:space="preserve">nage conflict resolution, provided the </w:t>
      </w:r>
      <w:r w:rsidR="00F2736A">
        <w:rPr>
          <w:rStyle w:val="Strong"/>
        </w:rPr>
        <w:t xml:space="preserve">herein </w:t>
      </w:r>
      <w:r w:rsidR="00537536">
        <w:rPr>
          <w:rStyle w:val="Strong"/>
        </w:rPr>
        <w:t>recommended approach is taken for such conflict resolution</w:t>
      </w:r>
      <w:r>
        <w:rPr>
          <w:rStyle w:val="Strong"/>
        </w:rPr>
        <w:t>.</w:t>
      </w:r>
    </w:p>
    <w:p w:rsidR="00BE1A87" w:rsidRDefault="00BE1A87" w:rsidP="00CF0A65">
      <w:r>
        <w:t>In regard to IAB node implementation considerations, the main related aspect is the assumed sharing of information at an IAB node between the MT and the DU. Alternative 2 explicitly requires sharing of information between the MT and the DU. While Alternative 1 does not strictly require the same for this specific purpose, in general it is conceivable that indeed such requirement is necessary for other reasons anyway (e.g. in the context of implicit determination of availability of a Soft resource).</w:t>
      </w:r>
    </w:p>
    <w:p w:rsidR="00AE7DBA" w:rsidRPr="004F4239" w:rsidRDefault="00AE7DBA" w:rsidP="00AE7DBA">
      <w:pPr>
        <w:rPr>
          <w:rStyle w:val="Strong"/>
          <w:u w:val="single"/>
        </w:rPr>
      </w:pPr>
      <w:r>
        <w:rPr>
          <w:rStyle w:val="Strong"/>
          <w:u w:val="single"/>
        </w:rPr>
        <w:t>Observation 4</w:t>
      </w:r>
      <w:r w:rsidRPr="004F4239">
        <w:rPr>
          <w:rStyle w:val="Strong"/>
          <w:u w:val="single"/>
        </w:rPr>
        <w:t>:</w:t>
      </w:r>
    </w:p>
    <w:p w:rsidR="00AE7DBA" w:rsidRDefault="00AE7DBA" w:rsidP="00AE7DBA">
      <w:r>
        <w:rPr>
          <w:rStyle w:val="Strong"/>
        </w:rPr>
        <w:t xml:space="preserve">The evaluated DU configuration options are equivalent in terms of </w:t>
      </w:r>
      <w:r>
        <w:rPr>
          <w:rStyle w:val="Strong"/>
        </w:rPr>
        <w:t>implementation considerations</w:t>
      </w:r>
      <w:r>
        <w:rPr>
          <w:rStyle w:val="Strong"/>
        </w:rPr>
        <w:t>.</w:t>
      </w:r>
    </w:p>
    <w:p w:rsidR="00BE1A87" w:rsidRDefault="00C317E6" w:rsidP="00CF0A65">
      <w:r>
        <w:t>An additional pertinent consideration relates to the possibility of an IAB node with multiple DUs, possibly operating in different channels and/or bands. In such a scenario the derivation of all DU configurations from the MT configuration is not applicable and some special handling would need to be additionally defined.</w:t>
      </w:r>
    </w:p>
    <w:p w:rsidR="00AE7DBA" w:rsidRPr="004F4239" w:rsidRDefault="00AE7DBA" w:rsidP="00AE7DBA">
      <w:pPr>
        <w:rPr>
          <w:rStyle w:val="Strong"/>
          <w:u w:val="single"/>
        </w:rPr>
      </w:pPr>
      <w:r>
        <w:rPr>
          <w:rStyle w:val="Strong"/>
          <w:u w:val="single"/>
        </w:rPr>
        <w:t>Observation 5</w:t>
      </w:r>
      <w:r w:rsidRPr="004F4239">
        <w:rPr>
          <w:rStyle w:val="Strong"/>
          <w:u w:val="single"/>
        </w:rPr>
        <w:t>:</w:t>
      </w:r>
    </w:p>
    <w:p w:rsidR="00AE7DBA" w:rsidRDefault="00AE7DBA" w:rsidP="00AE7DBA">
      <w:r>
        <w:rPr>
          <w:rStyle w:val="Strong"/>
        </w:rPr>
        <w:t>Alternative 2 requires some special handling in case of multiple DUs allocated to different channels and/or bands</w:t>
      </w:r>
      <w:r>
        <w:rPr>
          <w:rStyle w:val="Strong"/>
        </w:rPr>
        <w:t>.</w:t>
      </w:r>
    </w:p>
    <w:p w:rsidR="00BE1A87" w:rsidRDefault="006E0485" w:rsidP="00CF0A65">
      <w:r>
        <w:t>Moreover,</w:t>
      </w:r>
      <w:r w:rsidR="008D55FD">
        <w:t xml:space="preserve"> it should be noted that there are possible scenarios in which it is desirable to have the ability to restrict the resources available to a DU in a given link to a child node beyond what the DU could infer from the knowledge of the child node DU confi</w:t>
      </w:r>
      <w:r w:rsidR="00F87D85">
        <w:t>guration:</w:t>
      </w:r>
    </w:p>
    <w:p w:rsidR="00F87D85" w:rsidRDefault="00F87D85" w:rsidP="00F87D85">
      <w:pPr>
        <w:pStyle w:val="ListParagraph"/>
        <w:numPr>
          <w:ilvl w:val="0"/>
          <w:numId w:val="13"/>
        </w:numPr>
      </w:pPr>
      <w:r>
        <w:t>Interference due to neighboring nodes with different parents</w:t>
      </w:r>
      <w:r w:rsidR="003B45DC">
        <w:t xml:space="preserve"> (illustrated in </w:t>
      </w:r>
      <w:r w:rsidR="004F7D4C">
        <w:fldChar w:fldCharType="begin"/>
      </w:r>
      <w:r w:rsidR="004F7D4C">
        <w:instrText xml:space="preserve"> REF _Ref16881540 \h </w:instrText>
      </w:r>
      <w:r w:rsidR="004F7D4C">
        <w:fldChar w:fldCharType="separate"/>
      </w:r>
      <w:r w:rsidR="004F7D4C">
        <w:t xml:space="preserve">Figure </w:t>
      </w:r>
      <w:r w:rsidR="004F7D4C">
        <w:rPr>
          <w:noProof/>
        </w:rPr>
        <w:t>1</w:t>
      </w:r>
      <w:r w:rsidR="004F7D4C">
        <w:fldChar w:fldCharType="end"/>
      </w:r>
      <w:r w:rsidR="004F7D4C">
        <w:t>)</w:t>
      </w:r>
    </w:p>
    <w:p w:rsidR="00F87D85" w:rsidRDefault="00F87D85" w:rsidP="00F87D85">
      <w:pPr>
        <w:pStyle w:val="ListParagraph"/>
        <w:numPr>
          <w:ilvl w:val="0"/>
          <w:numId w:val="13"/>
        </w:numPr>
      </w:pPr>
      <w:r>
        <w:t>Co-channel multi-parent</w:t>
      </w:r>
      <w:r w:rsidR="004F7D4C">
        <w:t xml:space="preserve"> (illustrated in </w:t>
      </w:r>
      <w:r w:rsidR="004F7D4C">
        <w:fldChar w:fldCharType="begin"/>
      </w:r>
      <w:r w:rsidR="004F7D4C">
        <w:instrText xml:space="preserve"> REF _Ref16881556 \h </w:instrText>
      </w:r>
      <w:r w:rsidR="004F7D4C">
        <w:fldChar w:fldCharType="separate"/>
      </w:r>
      <w:r w:rsidR="004F7D4C">
        <w:t xml:space="preserve">Figure </w:t>
      </w:r>
      <w:r w:rsidR="004F7D4C">
        <w:rPr>
          <w:noProof/>
        </w:rPr>
        <w:t>2</w:t>
      </w:r>
      <w:r w:rsidR="004F7D4C">
        <w:fldChar w:fldCharType="end"/>
      </w:r>
      <w:r w:rsidR="004F7D4C">
        <w:t>)</w:t>
      </w:r>
    </w:p>
    <w:p w:rsidR="00C55529" w:rsidRDefault="00C55529" w:rsidP="00C55529"/>
    <w:p w:rsidR="00C80245" w:rsidRDefault="003B45DC" w:rsidP="003B45DC">
      <w:pPr>
        <w:jc w:val="center"/>
      </w:pPr>
      <w:r>
        <w:rPr>
          <w:noProof/>
        </w:rPr>
        <w:lastRenderedPageBreak/>
        <w:drawing>
          <wp:inline distT="0" distB="0" distL="0" distR="0" wp14:anchorId="7411FDA7">
            <wp:extent cx="4785995" cy="22923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5995" cy="2292350"/>
                    </a:xfrm>
                    <a:prstGeom prst="rect">
                      <a:avLst/>
                    </a:prstGeom>
                    <a:noFill/>
                  </pic:spPr>
                </pic:pic>
              </a:graphicData>
            </a:graphic>
          </wp:inline>
        </w:drawing>
      </w:r>
    </w:p>
    <w:p w:rsidR="003B45DC" w:rsidRDefault="003B45DC" w:rsidP="003B45DC">
      <w:pPr>
        <w:pStyle w:val="Caption"/>
        <w:jc w:val="center"/>
      </w:pPr>
      <w:bookmarkStart w:id="1" w:name="_Ref16881540"/>
      <w:r>
        <w:t xml:space="preserve">Figure </w:t>
      </w:r>
      <w:r>
        <w:fldChar w:fldCharType="begin"/>
      </w:r>
      <w:r>
        <w:instrText xml:space="preserve"> SEQ Figure \* ARABIC </w:instrText>
      </w:r>
      <w:r>
        <w:fldChar w:fldCharType="separate"/>
      </w:r>
      <w:r>
        <w:rPr>
          <w:noProof/>
        </w:rPr>
        <w:t>1</w:t>
      </w:r>
      <w:r>
        <w:fldChar w:fldCharType="end"/>
      </w:r>
      <w:bookmarkEnd w:id="1"/>
      <w:r>
        <w:t xml:space="preserve"> – Interference scenario</w:t>
      </w:r>
    </w:p>
    <w:p w:rsidR="00C80245" w:rsidRDefault="00C80245" w:rsidP="00C55529"/>
    <w:p w:rsidR="00F87D85" w:rsidRDefault="00C80245" w:rsidP="00584CA9">
      <w:pPr>
        <w:jc w:val="center"/>
      </w:pPr>
      <w:r>
        <w:rPr>
          <w:noProof/>
        </w:rPr>
        <w:drawing>
          <wp:inline distT="0" distB="0" distL="0" distR="0" wp14:anchorId="3F793E2B">
            <wp:extent cx="4785995" cy="23044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5995" cy="2304415"/>
                    </a:xfrm>
                    <a:prstGeom prst="rect">
                      <a:avLst/>
                    </a:prstGeom>
                    <a:noFill/>
                  </pic:spPr>
                </pic:pic>
              </a:graphicData>
            </a:graphic>
          </wp:inline>
        </w:drawing>
      </w:r>
    </w:p>
    <w:p w:rsidR="00C55529" w:rsidRDefault="00C55529" w:rsidP="00A82BB2">
      <w:pPr>
        <w:pStyle w:val="Caption"/>
        <w:jc w:val="center"/>
      </w:pPr>
      <w:bookmarkStart w:id="2" w:name="_Ref16881556"/>
      <w:r>
        <w:t xml:space="preserve">Figure </w:t>
      </w:r>
      <w:r>
        <w:fldChar w:fldCharType="begin"/>
      </w:r>
      <w:r>
        <w:instrText xml:space="preserve"> SEQ Figure \* ARABIC </w:instrText>
      </w:r>
      <w:r>
        <w:fldChar w:fldCharType="separate"/>
      </w:r>
      <w:r w:rsidR="003B45DC">
        <w:rPr>
          <w:noProof/>
        </w:rPr>
        <w:t>2</w:t>
      </w:r>
      <w:r>
        <w:fldChar w:fldCharType="end"/>
      </w:r>
      <w:bookmarkEnd w:id="2"/>
      <w:r>
        <w:t xml:space="preserve"> – Co-channel multi-parent scenario</w:t>
      </w:r>
    </w:p>
    <w:p w:rsidR="008B49BD" w:rsidRDefault="00047426" w:rsidP="007017ED">
      <w:r>
        <w:t xml:space="preserve">Handling of these scenarios can be achieved with Alternative 1 by simply extending the NA attribute to be per-child IAB node specific. As previously indicated, with this variation of Alternative 1 there is also </w:t>
      </w:r>
      <w:r>
        <w:t xml:space="preserve">no additional information from the child DU configurations </w:t>
      </w:r>
      <w:r>
        <w:t>that is strictly needed for optimized scheduling of resources across multiple hops.</w:t>
      </w:r>
    </w:p>
    <w:p w:rsidR="00AE7DBA" w:rsidRPr="004F4239" w:rsidRDefault="00AE7DBA" w:rsidP="00AE7DBA">
      <w:pPr>
        <w:rPr>
          <w:rStyle w:val="Strong"/>
          <w:u w:val="single"/>
        </w:rPr>
      </w:pPr>
      <w:r>
        <w:rPr>
          <w:rStyle w:val="Strong"/>
          <w:u w:val="single"/>
        </w:rPr>
        <w:t>Observation 6</w:t>
      </w:r>
      <w:r w:rsidRPr="004F4239">
        <w:rPr>
          <w:rStyle w:val="Strong"/>
          <w:u w:val="single"/>
        </w:rPr>
        <w:t>:</w:t>
      </w:r>
    </w:p>
    <w:p w:rsidR="00AE7DBA" w:rsidRPr="003F2BAD" w:rsidRDefault="003F2BAD" w:rsidP="007017ED">
      <w:pPr>
        <w:rPr>
          <w:b/>
        </w:rPr>
      </w:pPr>
      <w:r w:rsidRPr="003F2BAD">
        <w:rPr>
          <w:b/>
        </w:rPr>
        <w:t>T</w:t>
      </w:r>
      <w:r w:rsidRPr="003F2BAD">
        <w:rPr>
          <w:b/>
        </w:rPr>
        <w:t>here are possible scenarios in which it is desirable to have the ability to restrict the resources available to a DU in a given link to a child node beyond what the DU could infer from the knowledge of the child node DU configuration</w:t>
      </w:r>
      <w:r w:rsidRPr="003F2BAD">
        <w:rPr>
          <w:b/>
        </w:rPr>
        <w:t xml:space="preserve">. For such scenarios can be handled by extending Alternative 1 to have </w:t>
      </w:r>
      <w:r w:rsidRPr="003F2BAD">
        <w:rPr>
          <w:b/>
        </w:rPr>
        <w:t>the NA attribute to be per-child IAB node specific</w:t>
      </w:r>
      <w:r w:rsidRPr="003F2BAD">
        <w:rPr>
          <w:b/>
        </w:rPr>
        <w:t>.</w:t>
      </w:r>
    </w:p>
    <w:p w:rsidR="00B53F0F" w:rsidRDefault="00B53F0F" w:rsidP="007017ED">
      <w:r>
        <w:t>In summary, after comparing the DU resource configuration options</w:t>
      </w:r>
      <w:r w:rsidR="00343781">
        <w:t xml:space="preserve"> in the suggested dimensions</w:t>
      </w:r>
      <w:r>
        <w:t>, there does not seem to be any tangible benefit of Alternative 2</w:t>
      </w:r>
      <w:r w:rsidR="00B61610">
        <w:t xml:space="preserve"> while there are some potential complications</w:t>
      </w:r>
      <w:r>
        <w:t xml:space="preserve">, hence the recommendation is to </w:t>
      </w:r>
      <w:r w:rsidR="00B61610">
        <w:t xml:space="preserve">select </w:t>
      </w:r>
      <w:r>
        <w:t>the more intuitive and previously assumed Alternative 1 approach.</w:t>
      </w:r>
      <w:r w:rsidR="001C2FB1">
        <w:t xml:space="preserve"> </w:t>
      </w:r>
      <w:r w:rsidR="00047426">
        <w:t>In the context of Alternative 1 it is also recommended to have the option for a child IAB node link specific NA attri</w:t>
      </w:r>
      <w:r w:rsidR="008A32C2">
        <w:t>bute for increased future</w:t>
      </w:r>
      <w:r w:rsidR="00655A72">
        <w:t>-</w:t>
      </w:r>
      <w:r w:rsidR="008A32C2">
        <w:t>proofness of the framework with no additional overhead.</w:t>
      </w:r>
    </w:p>
    <w:p w:rsidR="00936669" w:rsidRPr="004F4239" w:rsidRDefault="00800BC5" w:rsidP="00936669">
      <w:pPr>
        <w:rPr>
          <w:rStyle w:val="Strong"/>
          <w:u w:val="single"/>
        </w:rPr>
      </w:pPr>
      <w:r>
        <w:t xml:space="preserve"> </w:t>
      </w:r>
      <w:r w:rsidR="00936669" w:rsidRPr="004F4239">
        <w:rPr>
          <w:rStyle w:val="Strong"/>
          <w:u w:val="single"/>
        </w:rPr>
        <w:t>Proposal</w:t>
      </w:r>
      <w:r w:rsidR="00A23E05">
        <w:rPr>
          <w:rStyle w:val="Strong"/>
          <w:u w:val="single"/>
        </w:rPr>
        <w:t xml:space="preserve"> 1</w:t>
      </w:r>
      <w:r w:rsidR="00936669" w:rsidRPr="004F4239">
        <w:rPr>
          <w:rStyle w:val="Strong"/>
          <w:u w:val="single"/>
        </w:rPr>
        <w:t>:</w:t>
      </w:r>
    </w:p>
    <w:p w:rsidR="0038759C" w:rsidRDefault="0038759C" w:rsidP="00936669">
      <w:pPr>
        <w:rPr>
          <w:rStyle w:val="Strong"/>
        </w:rPr>
      </w:pPr>
      <w:r>
        <w:rPr>
          <w:rStyle w:val="Strong"/>
        </w:rPr>
        <w:t>The DU is semi-statically configured with H / S /</w:t>
      </w:r>
      <w:r w:rsidR="00590B8F">
        <w:rPr>
          <w:rStyle w:val="Strong"/>
        </w:rPr>
        <w:t xml:space="preserve"> </w:t>
      </w:r>
      <w:r>
        <w:rPr>
          <w:rStyle w:val="Strong"/>
        </w:rPr>
        <w:t>NA attributes for each resource.</w:t>
      </w:r>
    </w:p>
    <w:p w:rsidR="00936669" w:rsidRDefault="00DC0A9C" w:rsidP="00936669">
      <w:pPr>
        <w:rPr>
          <w:rStyle w:val="Strong"/>
        </w:rPr>
      </w:pPr>
      <w:r>
        <w:rPr>
          <w:rStyle w:val="Strong"/>
        </w:rPr>
        <w:t>The NA</w:t>
      </w:r>
      <w:r w:rsidR="0038759C">
        <w:rPr>
          <w:rStyle w:val="Strong"/>
        </w:rPr>
        <w:t xml:space="preserve"> attribute is optionally provided for each link to a child IAB node.</w:t>
      </w:r>
    </w:p>
    <w:p w:rsidR="00DC0A9C" w:rsidRDefault="00DC0A9C" w:rsidP="00936669"/>
    <w:p w:rsidR="008924E2" w:rsidRDefault="008924E2" w:rsidP="008924E2">
      <w:pPr>
        <w:pStyle w:val="Heading3"/>
      </w:pPr>
      <w:bookmarkStart w:id="3" w:name="_Ref16876995"/>
      <w:r>
        <w:lastRenderedPageBreak/>
        <w:t xml:space="preserve">Handling of potential </w:t>
      </w:r>
      <w:r w:rsidR="006C576D">
        <w:t>resource overlap at MT-to-</w:t>
      </w:r>
      <w:r>
        <w:t xml:space="preserve">DU </w:t>
      </w:r>
      <w:r w:rsidR="006C576D">
        <w:t xml:space="preserve">and DU-to-MT </w:t>
      </w:r>
      <w:r>
        <w:t>transition</w:t>
      </w:r>
      <w:r w:rsidR="003D7BEF">
        <w:t>s</w:t>
      </w:r>
      <w:bookmarkEnd w:id="3"/>
    </w:p>
    <w:p w:rsidR="008638D4" w:rsidRDefault="00057134" w:rsidP="008924E2">
      <w:r>
        <w:t>Given the timing scheme</w:t>
      </w:r>
      <w:r w:rsidR="00DA2193">
        <w:t xml:space="preserve"> agreed for IAB (</w:t>
      </w:r>
      <w:r w:rsidR="00C545ED">
        <w:t xml:space="preserve">i.e., </w:t>
      </w:r>
      <w:r w:rsidR="00DA2193">
        <w:t>Case 1 timing)</w:t>
      </w:r>
      <w:r w:rsidR="00C545ED">
        <w:t xml:space="preserve">, </w:t>
      </w:r>
      <w:r>
        <w:t xml:space="preserve">the slot boundaries are not perfectly aligned between the upstream link (link to the parent node) and the downstream link (link to the children nodes). The situation is illustrated </w:t>
      </w:r>
      <w:r w:rsidR="001743A0">
        <w:t xml:space="preserve">at a high level </w:t>
      </w:r>
      <w:r>
        <w:t xml:space="preserve">in </w:t>
      </w:r>
      <w:r w:rsidR="000467E0">
        <w:fldChar w:fldCharType="begin"/>
      </w:r>
      <w:r w:rsidR="000467E0">
        <w:instrText xml:space="preserve"> REF _Ref16757318 \h </w:instrText>
      </w:r>
      <w:r w:rsidR="000467E0">
        <w:fldChar w:fldCharType="separate"/>
      </w:r>
      <w:r w:rsidR="00C11370">
        <w:t xml:space="preserve">Figure </w:t>
      </w:r>
      <w:r w:rsidR="00C11370">
        <w:rPr>
          <w:noProof/>
        </w:rPr>
        <w:t>3</w:t>
      </w:r>
      <w:r w:rsidR="000467E0">
        <w:fldChar w:fldCharType="end"/>
      </w:r>
      <w:r>
        <w:t>.</w:t>
      </w:r>
    </w:p>
    <w:p w:rsidR="006945ED" w:rsidRDefault="001743A0" w:rsidP="008924E2">
      <w:r>
        <w:t xml:space="preserve">For the TDD case the timing relationship is illustrated in more detail in </w:t>
      </w:r>
      <w:r>
        <w:fldChar w:fldCharType="begin"/>
      </w:r>
      <w:r>
        <w:instrText xml:space="preserve"> REF _Ref16758207 \h </w:instrText>
      </w:r>
      <w:r>
        <w:fldChar w:fldCharType="separate"/>
      </w:r>
      <w:r>
        <w:t xml:space="preserve">Figure </w:t>
      </w:r>
      <w:r>
        <w:rPr>
          <w:noProof/>
        </w:rPr>
        <w:t>2</w:t>
      </w:r>
      <w:r>
        <w:fldChar w:fldCharType="end"/>
      </w:r>
      <w:r>
        <w:t>.</w:t>
      </w:r>
      <w:r w:rsidR="008638D4">
        <w:t xml:space="preserve"> </w:t>
      </w:r>
      <w:r w:rsidR="002B6B12">
        <w:t xml:space="preserve">It can be observed that depending on the type of transition between MT (DU) operation to DU (MT) operation there is in general a resource overlap of at least a fraction of a symbol or a gap. As an </w:t>
      </w:r>
      <w:r w:rsidR="006E0485">
        <w:t>example,</w:t>
      </w:r>
      <w:r w:rsidR="002B6B12">
        <w:t xml:space="preserve"> a transition between DL Rx at the MT to UL Rx at the DU has one of the largest overlaps. Conversely, the reverse transition between UL Rx at the DU to DL Rx at the MT has one of the largest gaps.</w:t>
      </w:r>
      <w:r w:rsidR="00C42D98">
        <w:t xml:space="preserve"> </w:t>
      </w:r>
      <w:r w:rsidR="0083510C">
        <w:t xml:space="preserve">Moreover, it can be </w:t>
      </w:r>
      <w:r w:rsidR="00C42D98">
        <w:t xml:space="preserve">observed that such resource overlap, when present, it is an intrinsic consequence of </w:t>
      </w:r>
      <w:r w:rsidR="00364477">
        <w:t>the relative timing relationships between transmission and reception at the DU and the MT, and hence does not depend on the specifics of the resource configuration scheme at the MT and the DU.</w:t>
      </w:r>
    </w:p>
    <w:p w:rsidR="006945ED" w:rsidRDefault="006945ED" w:rsidP="008924E2">
      <w:r>
        <w:t>The transitions with the largest overlap are:</w:t>
      </w:r>
    </w:p>
    <w:p w:rsidR="008924E2" w:rsidRDefault="006945ED" w:rsidP="006945ED">
      <w:pPr>
        <w:pStyle w:val="ListParagraph"/>
        <w:numPr>
          <w:ilvl w:val="0"/>
          <w:numId w:val="7"/>
        </w:numPr>
      </w:pPr>
      <w:r>
        <w:t>Upstream link (MT) to downstream link (DU): DL Rx to UL Rx</w:t>
      </w:r>
      <w:r w:rsidR="008D1000">
        <w:t>.</w:t>
      </w:r>
    </w:p>
    <w:p w:rsidR="006945ED" w:rsidRDefault="006945ED" w:rsidP="006945ED">
      <w:pPr>
        <w:pStyle w:val="ListParagraph"/>
        <w:numPr>
          <w:ilvl w:val="0"/>
          <w:numId w:val="7"/>
        </w:numPr>
      </w:pPr>
      <w:r>
        <w:t xml:space="preserve">Downstream link (DU) to </w:t>
      </w:r>
      <w:r w:rsidR="006E0485">
        <w:t>upstream</w:t>
      </w:r>
      <w:r>
        <w:t xml:space="preserve"> link (MT): DL Tx to UL  Tx</w:t>
      </w:r>
      <w:r w:rsidR="008D1000">
        <w:t>.</w:t>
      </w:r>
    </w:p>
    <w:p w:rsidR="004F324A" w:rsidRDefault="004F324A" w:rsidP="004F324A">
      <w:r>
        <w:t xml:space="preserve">The </w:t>
      </w:r>
      <w:r w:rsidR="006E0485">
        <w:t>transitions</w:t>
      </w:r>
      <w:r>
        <w:t xml:space="preserve"> with the largest gap are:</w:t>
      </w:r>
    </w:p>
    <w:p w:rsidR="004F324A" w:rsidRDefault="004F324A" w:rsidP="004F324A">
      <w:pPr>
        <w:pStyle w:val="ListParagraph"/>
        <w:numPr>
          <w:ilvl w:val="0"/>
          <w:numId w:val="8"/>
        </w:numPr>
      </w:pPr>
      <w:r>
        <w:t>Upstream link (MT) to downstream link (DU): UL Tx to DL Tx</w:t>
      </w:r>
      <w:r w:rsidR="008D1000">
        <w:t>.</w:t>
      </w:r>
    </w:p>
    <w:p w:rsidR="004F324A" w:rsidRDefault="004F324A" w:rsidP="004F324A">
      <w:pPr>
        <w:pStyle w:val="ListParagraph"/>
        <w:numPr>
          <w:ilvl w:val="0"/>
          <w:numId w:val="8"/>
        </w:numPr>
      </w:pPr>
      <w:r>
        <w:t xml:space="preserve">Downstream link (DU) to </w:t>
      </w:r>
      <w:r w:rsidR="006E0485">
        <w:t>upstream</w:t>
      </w:r>
      <w:r>
        <w:t xml:space="preserve"> link (MT): UL Rx to DL  Rx</w:t>
      </w:r>
      <w:r w:rsidR="008D1000">
        <w:t>.</w:t>
      </w:r>
    </w:p>
    <w:p w:rsidR="00057134" w:rsidRDefault="00B96C84" w:rsidP="008924E2">
      <w:r>
        <w:object w:dxaOrig="12411" w:dyaOrig="8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7.55pt" o:ole="">
            <v:imagedata r:id="rId10" o:title=""/>
          </v:shape>
          <o:OLEObject Type="Embed" ProgID="Visio.Drawing.15" ShapeID="_x0000_i1025" DrawAspect="Content" ObjectID="_1627498120" r:id="rId11"/>
        </w:object>
      </w:r>
    </w:p>
    <w:p w:rsidR="00B96C84" w:rsidRDefault="00B96C84" w:rsidP="00A14ADA">
      <w:pPr>
        <w:pStyle w:val="Caption"/>
        <w:jc w:val="center"/>
      </w:pPr>
      <w:bookmarkStart w:id="4" w:name="_Ref16757318"/>
      <w:r>
        <w:t xml:space="preserve">Figure </w:t>
      </w:r>
      <w:r>
        <w:fldChar w:fldCharType="begin"/>
      </w:r>
      <w:r>
        <w:instrText xml:space="preserve"> SEQ Figure \* ARABIC </w:instrText>
      </w:r>
      <w:r>
        <w:fldChar w:fldCharType="separate"/>
      </w:r>
      <w:r w:rsidR="003B45DC">
        <w:rPr>
          <w:noProof/>
        </w:rPr>
        <w:t>3</w:t>
      </w:r>
      <w:r>
        <w:fldChar w:fldCharType="end"/>
      </w:r>
      <w:bookmarkEnd w:id="4"/>
      <w:r>
        <w:t xml:space="preserve"> – Illustration of partial overlap of resources at transition between upstream (MT) and downstream (DU) communication</w:t>
      </w:r>
    </w:p>
    <w:p w:rsidR="00A51F28" w:rsidRDefault="00A51F28" w:rsidP="003F7BA1">
      <w:pPr>
        <w:pStyle w:val="Heading3"/>
      </w:pPr>
    </w:p>
    <w:p w:rsidR="00410EDA" w:rsidRDefault="00CC3F5B" w:rsidP="00410EDA">
      <w:r>
        <w:object w:dxaOrig="14611" w:dyaOrig="6601">
          <v:shape id="_x0000_i1026" type="#_x0000_t75" style="width:481.45pt;height:217.55pt" o:ole="">
            <v:imagedata r:id="rId12" o:title=""/>
          </v:shape>
          <o:OLEObject Type="Embed" ProgID="Visio.Drawing.15" ShapeID="_x0000_i1026" DrawAspect="Content" ObjectID="_1627498121" r:id="rId13"/>
        </w:object>
      </w:r>
    </w:p>
    <w:p w:rsidR="00410EDA" w:rsidRDefault="009A2875" w:rsidP="009A2875">
      <w:pPr>
        <w:pStyle w:val="Caption"/>
        <w:jc w:val="center"/>
      </w:pPr>
      <w:bookmarkStart w:id="5" w:name="_Ref16758207"/>
      <w:r>
        <w:t xml:space="preserve">Figure </w:t>
      </w:r>
      <w:r>
        <w:fldChar w:fldCharType="begin"/>
      </w:r>
      <w:r>
        <w:instrText xml:space="preserve"> SEQ Figure \* ARABIC </w:instrText>
      </w:r>
      <w:r>
        <w:fldChar w:fldCharType="separate"/>
      </w:r>
      <w:r w:rsidR="003B45DC">
        <w:rPr>
          <w:noProof/>
        </w:rPr>
        <w:t>4</w:t>
      </w:r>
      <w:r>
        <w:fldChar w:fldCharType="end"/>
      </w:r>
      <w:bookmarkEnd w:id="5"/>
      <w:r>
        <w:t xml:space="preserve"> – Detailed timing view for MT and DU at a given IAB node</w:t>
      </w:r>
    </w:p>
    <w:p w:rsidR="00F837E6" w:rsidRDefault="00F837E6" w:rsidP="00F837E6">
      <w:r>
        <w:t xml:space="preserve">As it can be seen in </w:t>
      </w:r>
      <w:r>
        <w:fldChar w:fldCharType="begin"/>
      </w:r>
      <w:r>
        <w:instrText xml:space="preserve"> REF _Ref16758207 \h </w:instrText>
      </w:r>
      <w:r>
        <w:fldChar w:fldCharType="separate"/>
      </w:r>
      <w:r>
        <w:t xml:space="preserve">Figure </w:t>
      </w:r>
      <w:r>
        <w:rPr>
          <w:noProof/>
        </w:rPr>
        <w:t>2</w:t>
      </w:r>
      <w:r>
        <w:fldChar w:fldCharType="end"/>
      </w:r>
      <w:r>
        <w:t>, the length of the overlap and gap regions at an IAB node depends on:</w:t>
      </w:r>
    </w:p>
    <w:p w:rsidR="00F837E6" w:rsidRDefault="00F837E6" w:rsidP="00F837E6">
      <w:pPr>
        <w:pStyle w:val="ListParagraph"/>
        <w:numPr>
          <w:ilvl w:val="0"/>
          <w:numId w:val="9"/>
        </w:numPr>
      </w:pPr>
      <w:r>
        <w:t>The propagation delay from the parent node, Tp.</w:t>
      </w:r>
    </w:p>
    <w:p w:rsidR="00F837E6" w:rsidRDefault="00F837E6" w:rsidP="00F837E6">
      <w:pPr>
        <w:pStyle w:val="ListParagraph"/>
        <w:numPr>
          <w:ilvl w:val="0"/>
          <w:numId w:val="9"/>
        </w:numPr>
      </w:pPr>
      <w:r>
        <w:t>The timing skew between the DL slot boundaries and the UL slot boundaries at the node, G</w:t>
      </w:r>
      <w:r w:rsidRPr="008D1000">
        <w:rPr>
          <w:vertAlign w:val="subscript"/>
        </w:rPr>
        <w:t>Rx2Tx</w:t>
      </w:r>
      <w:r w:rsidRPr="008D1000">
        <w:t>.</w:t>
      </w:r>
    </w:p>
    <w:p w:rsidR="008179EA" w:rsidRDefault="008179EA" w:rsidP="008206EE"/>
    <w:p w:rsidR="00564685" w:rsidRPr="004F4239" w:rsidRDefault="00564685" w:rsidP="00564685">
      <w:pPr>
        <w:rPr>
          <w:rStyle w:val="Strong"/>
          <w:u w:val="single"/>
        </w:rPr>
      </w:pPr>
      <w:r>
        <w:rPr>
          <w:rStyle w:val="Strong"/>
          <w:u w:val="single"/>
        </w:rPr>
        <w:t>Observation 7</w:t>
      </w:r>
      <w:r w:rsidRPr="004F4239">
        <w:rPr>
          <w:rStyle w:val="Strong"/>
          <w:u w:val="single"/>
        </w:rPr>
        <w:t>:</w:t>
      </w:r>
    </w:p>
    <w:p w:rsidR="00564685" w:rsidRPr="00564685" w:rsidRDefault="00564685" w:rsidP="00564685">
      <w:pPr>
        <w:rPr>
          <w:b/>
        </w:rPr>
      </w:pPr>
      <w:r w:rsidRPr="00564685">
        <w:rPr>
          <w:b/>
        </w:rPr>
        <w:t>T</w:t>
      </w:r>
      <w:r w:rsidRPr="00564685">
        <w:rPr>
          <w:b/>
        </w:rPr>
        <w:t xml:space="preserve">he length of the overlap and gap regions </w:t>
      </w:r>
      <w:r w:rsidRPr="00564685">
        <w:rPr>
          <w:b/>
        </w:rPr>
        <w:t xml:space="preserve">at the MT to DU and DU to MT resource transition boundaries </w:t>
      </w:r>
      <w:r w:rsidRPr="00564685">
        <w:rPr>
          <w:b/>
        </w:rPr>
        <w:t>at an IAB node depends on:</w:t>
      </w:r>
    </w:p>
    <w:p w:rsidR="00564685" w:rsidRPr="00564685" w:rsidRDefault="00564685" w:rsidP="00564685">
      <w:pPr>
        <w:pStyle w:val="ListParagraph"/>
        <w:numPr>
          <w:ilvl w:val="0"/>
          <w:numId w:val="15"/>
        </w:numPr>
        <w:rPr>
          <w:b/>
        </w:rPr>
      </w:pPr>
      <w:r w:rsidRPr="00564685">
        <w:rPr>
          <w:b/>
        </w:rPr>
        <w:t>The propagation delay from the parent node, Tp.</w:t>
      </w:r>
    </w:p>
    <w:p w:rsidR="00564685" w:rsidRPr="00564685" w:rsidRDefault="00564685" w:rsidP="008206EE">
      <w:pPr>
        <w:pStyle w:val="ListParagraph"/>
        <w:numPr>
          <w:ilvl w:val="0"/>
          <w:numId w:val="15"/>
        </w:numPr>
        <w:rPr>
          <w:b/>
        </w:rPr>
      </w:pPr>
      <w:r w:rsidRPr="00564685">
        <w:rPr>
          <w:b/>
        </w:rPr>
        <w:t>The timing skew between the DL slot boundaries and the UL slot boundaries at the node, G</w:t>
      </w:r>
      <w:r w:rsidRPr="00564685">
        <w:rPr>
          <w:b/>
          <w:vertAlign w:val="subscript"/>
        </w:rPr>
        <w:t>Rx2Tx</w:t>
      </w:r>
      <w:r w:rsidRPr="00564685">
        <w:rPr>
          <w:b/>
        </w:rPr>
        <w:t>.</w:t>
      </w:r>
    </w:p>
    <w:p w:rsidR="00564685" w:rsidRDefault="00564685" w:rsidP="008206EE"/>
    <w:p w:rsidR="008D1000" w:rsidRDefault="00F837E6" w:rsidP="008206EE">
      <w:r>
        <w:t>As an example, it can be shown that for the DL Rx to UL Rx transition the overlap is given by:</w:t>
      </w:r>
    </w:p>
    <w:p w:rsidR="00F541E6" w:rsidRDefault="00F541E6" w:rsidP="005F22D5">
      <w:pPr>
        <w:jc w:val="center"/>
      </w:pPr>
      <w:r>
        <w:t xml:space="preserve">Tov = Tp </w:t>
      </w:r>
      <w:r w:rsidRPr="00F541E6">
        <w:t>+ G</w:t>
      </w:r>
      <w:r w:rsidRPr="00F541E6">
        <w:rPr>
          <w:vertAlign w:val="subscript"/>
        </w:rPr>
        <w:t>Rx2Tx</w:t>
      </w:r>
      <w:r w:rsidR="005F22D5">
        <w:t xml:space="preserve">( N ) = TA/2 + T_delta( N – </w:t>
      </w:r>
      <w:r w:rsidRPr="00F541E6">
        <w:t>1</w:t>
      </w:r>
      <w:r w:rsidR="006B344D">
        <w:t xml:space="preserve"> </w:t>
      </w:r>
      <w:r w:rsidRPr="00F541E6">
        <w:t>) + G</w:t>
      </w:r>
      <w:r w:rsidRPr="005F22D5">
        <w:rPr>
          <w:vertAlign w:val="subscript"/>
        </w:rPr>
        <w:t>Rx2Tx</w:t>
      </w:r>
      <w:r w:rsidRPr="00F541E6">
        <w:t>( N )</w:t>
      </w:r>
      <w:r w:rsidR="005F22D5">
        <w:t>,</w:t>
      </w:r>
    </w:p>
    <w:p w:rsidR="005F22D5" w:rsidRDefault="005F22D5" w:rsidP="005F22D5">
      <w:pPr>
        <w:jc w:val="both"/>
      </w:pPr>
      <w:r>
        <w:t>where:</w:t>
      </w:r>
    </w:p>
    <w:p w:rsidR="006B344D" w:rsidRDefault="006B344D" w:rsidP="005F22D5">
      <w:pPr>
        <w:pStyle w:val="ListParagraph"/>
        <w:numPr>
          <w:ilvl w:val="0"/>
          <w:numId w:val="10"/>
        </w:numPr>
        <w:jc w:val="both"/>
      </w:pPr>
      <w:r>
        <w:t xml:space="preserve">Tp is the </w:t>
      </w:r>
      <w:r w:rsidR="006E0485">
        <w:t>one-way</w:t>
      </w:r>
      <w:r>
        <w:t xml:space="preserve"> propagation delay from the parent N – 1.</w:t>
      </w:r>
    </w:p>
    <w:p w:rsidR="005F22D5" w:rsidRDefault="004E72D0" w:rsidP="005F22D5">
      <w:pPr>
        <w:pStyle w:val="ListParagraph"/>
        <w:numPr>
          <w:ilvl w:val="0"/>
          <w:numId w:val="10"/>
        </w:numPr>
        <w:jc w:val="both"/>
      </w:pPr>
      <w:r>
        <w:t>TA is the Timing A</w:t>
      </w:r>
      <w:r w:rsidR="005F22D5" w:rsidRPr="005F22D5">
        <w:t>dvance</w:t>
      </w:r>
      <w:r w:rsidR="000147BB">
        <w:t xml:space="preserve"> </w:t>
      </w:r>
      <w:r>
        <w:t>at node N (controlled</w:t>
      </w:r>
      <w:r w:rsidR="000147BB">
        <w:t xml:space="preserve"> by its parent N – 1</w:t>
      </w:r>
      <w:r>
        <w:t>)</w:t>
      </w:r>
      <w:r w:rsidR="006B344D">
        <w:t>.</w:t>
      </w:r>
    </w:p>
    <w:p w:rsidR="005F22D5" w:rsidRDefault="005F22D5" w:rsidP="005F22D5">
      <w:pPr>
        <w:pStyle w:val="ListParagraph"/>
        <w:numPr>
          <w:ilvl w:val="0"/>
          <w:numId w:val="10"/>
        </w:numPr>
        <w:jc w:val="both"/>
      </w:pPr>
      <w:r>
        <w:t xml:space="preserve">T_delta ( N – </w:t>
      </w:r>
      <w:r w:rsidRPr="005F22D5">
        <w:t>1</w:t>
      </w:r>
      <w:r w:rsidR="006E0485">
        <w:t xml:space="preserve"> </w:t>
      </w:r>
      <w:r w:rsidRPr="005F22D5">
        <w:t>) is the T_delta value communicated to node N from his parent</w:t>
      </w:r>
      <w:r>
        <w:t xml:space="preserve"> N –</w:t>
      </w:r>
      <w:r w:rsidR="006B344D">
        <w:t xml:space="preserve"> 1.</w:t>
      </w:r>
    </w:p>
    <w:p w:rsidR="005F22D5" w:rsidRDefault="005F22D5" w:rsidP="005F22D5">
      <w:pPr>
        <w:pStyle w:val="ListParagraph"/>
        <w:numPr>
          <w:ilvl w:val="0"/>
          <w:numId w:val="10"/>
        </w:numPr>
        <w:jc w:val="both"/>
      </w:pPr>
      <w:r w:rsidRPr="005F22D5">
        <w:t>G</w:t>
      </w:r>
      <w:r w:rsidRPr="005F22D5">
        <w:rPr>
          <w:vertAlign w:val="subscript"/>
        </w:rPr>
        <w:t>Rx2Tx</w:t>
      </w:r>
      <w:r w:rsidR="000147BB">
        <w:t>( N ) is the UL reception to DL transmission gap at the DU of node N</w:t>
      </w:r>
      <w:r w:rsidR="006B344D">
        <w:t>.</w:t>
      </w:r>
    </w:p>
    <w:p w:rsidR="00F837E6" w:rsidRDefault="006E0485" w:rsidP="008206EE">
      <w:r>
        <w:t>Similarly,</w:t>
      </w:r>
      <w:r w:rsidR="0096446F">
        <w:t xml:space="preserve"> it can be shown that for the </w:t>
      </w:r>
      <w:r w:rsidR="008E06DA">
        <w:t>DL Tx to UL T</w:t>
      </w:r>
      <w:r w:rsidR="0096446F">
        <w:t>x transition the overlap is given by:</w:t>
      </w:r>
    </w:p>
    <w:p w:rsidR="008E06DA" w:rsidRDefault="008E06DA" w:rsidP="008E06DA">
      <w:pPr>
        <w:jc w:val="center"/>
      </w:pPr>
      <w:r>
        <w:t xml:space="preserve">Tov = Tp </w:t>
      </w:r>
      <w:r w:rsidRPr="00F541E6">
        <w:t>+ G</w:t>
      </w:r>
      <w:r w:rsidRPr="00F541E6">
        <w:rPr>
          <w:vertAlign w:val="subscript"/>
        </w:rPr>
        <w:t>Rx2Tx</w:t>
      </w:r>
      <w:r>
        <w:t>( N – 1 ) =</w:t>
      </w:r>
      <w:r w:rsidR="00ED0868">
        <w:t xml:space="preserve"> T</w:t>
      </w:r>
      <w:r>
        <w:t>A</w:t>
      </w:r>
      <w:r w:rsidR="00ED0868">
        <w:t>/2</w:t>
      </w:r>
      <w:r w:rsidR="006B344D">
        <w:t xml:space="preserve"> –</w:t>
      </w:r>
      <w:r>
        <w:t xml:space="preserve"> T_delta( N – </w:t>
      </w:r>
      <w:r w:rsidR="00ED0868">
        <w:t>1</w:t>
      </w:r>
      <w:r w:rsidR="006B344D">
        <w:t xml:space="preserve"> </w:t>
      </w:r>
      <w:r w:rsidR="00ED0868">
        <w:t>)</w:t>
      </w:r>
      <w:r w:rsidR="006B344D">
        <w:t>.</w:t>
      </w:r>
    </w:p>
    <w:p w:rsidR="008E06DA" w:rsidRDefault="00AD187C" w:rsidP="008206EE">
      <w:r>
        <w:t>The relative gap</w:t>
      </w:r>
      <w:r w:rsidR="006B4B26">
        <w:t>s</w:t>
      </w:r>
      <w:r>
        <w:t xml:space="preserve"> </w:t>
      </w:r>
      <w:r w:rsidR="0010641A">
        <w:t>(negative value</w:t>
      </w:r>
      <w:r w:rsidR="006B4B26">
        <w:t>s</w:t>
      </w:r>
      <w:r w:rsidR="0010641A">
        <w:t xml:space="preserve">) </w:t>
      </w:r>
      <w:r>
        <w:t>or overlap</w:t>
      </w:r>
      <w:r w:rsidR="006B4B26">
        <w:t>s</w:t>
      </w:r>
      <w:r>
        <w:t xml:space="preserve"> </w:t>
      </w:r>
      <w:r w:rsidR="0010641A">
        <w:t>(positive value</w:t>
      </w:r>
      <w:r w:rsidR="006B4B26">
        <w:t>s</w:t>
      </w:r>
      <w:r w:rsidR="0010641A">
        <w:t xml:space="preserve">) </w:t>
      </w:r>
      <w:r w:rsidR="006B4B26">
        <w:t xml:space="preserve">are summarized in </w:t>
      </w:r>
      <w:r w:rsidR="00C01E25">
        <w:fldChar w:fldCharType="begin"/>
      </w:r>
      <w:r w:rsidR="00C01E25">
        <w:instrText xml:space="preserve"> REF _Ref16781822 \h </w:instrText>
      </w:r>
      <w:r w:rsidR="00C01E25">
        <w:fldChar w:fldCharType="separate"/>
      </w:r>
      <w:r w:rsidR="00C01E25">
        <w:t xml:space="preserve">Table </w:t>
      </w:r>
      <w:r w:rsidR="00C01E25">
        <w:rPr>
          <w:noProof/>
        </w:rPr>
        <w:t>1</w:t>
      </w:r>
      <w:r w:rsidR="00C01E25">
        <w:fldChar w:fldCharType="end"/>
      </w:r>
      <w:r w:rsidR="00C01E25">
        <w:t xml:space="preserve"> and </w:t>
      </w:r>
      <w:r w:rsidR="00C01E25">
        <w:fldChar w:fldCharType="begin"/>
      </w:r>
      <w:r w:rsidR="00C01E25">
        <w:instrText xml:space="preserve"> REF _Ref16781838 \h </w:instrText>
      </w:r>
      <w:r w:rsidR="00C01E25">
        <w:fldChar w:fldCharType="separate"/>
      </w:r>
      <w:r w:rsidR="00C01E25">
        <w:t xml:space="preserve">Table </w:t>
      </w:r>
      <w:r w:rsidR="00C01E25">
        <w:rPr>
          <w:noProof/>
        </w:rPr>
        <w:t>2</w:t>
      </w:r>
      <w:r w:rsidR="00C01E25">
        <w:fldChar w:fldCharType="end"/>
      </w:r>
      <w:r w:rsidR="00C01E25">
        <w:t xml:space="preserve"> for the MT to DU transitions and the DU to MT transitions respectively</w:t>
      </w:r>
      <w:r>
        <w:t>.</w:t>
      </w:r>
    </w:p>
    <w:tbl>
      <w:tblPr>
        <w:tblStyle w:val="TableGrid"/>
        <w:tblW w:w="0" w:type="auto"/>
        <w:tblCellMar>
          <w:left w:w="115" w:type="dxa"/>
          <w:right w:w="115" w:type="dxa"/>
        </w:tblCellMar>
        <w:tblLook w:val="0680" w:firstRow="0" w:lastRow="0" w:firstColumn="1" w:lastColumn="0" w:noHBand="1" w:noVBand="1"/>
      </w:tblPr>
      <w:tblGrid>
        <w:gridCol w:w="3209"/>
        <w:gridCol w:w="3210"/>
        <w:gridCol w:w="3210"/>
      </w:tblGrid>
      <w:tr w:rsidR="0010641A" w:rsidTr="0010641A">
        <w:tc>
          <w:tcPr>
            <w:tcW w:w="3209" w:type="dxa"/>
            <w:vAlign w:val="center"/>
          </w:tcPr>
          <w:p w:rsidR="0010641A" w:rsidRDefault="0010641A" w:rsidP="0010641A">
            <w:pPr>
              <w:pStyle w:val="TH"/>
              <w:spacing w:after="60"/>
            </w:pPr>
            <w:r>
              <w:t>MT to DU</w:t>
            </w:r>
          </w:p>
        </w:tc>
        <w:tc>
          <w:tcPr>
            <w:tcW w:w="3210" w:type="dxa"/>
            <w:vAlign w:val="center"/>
          </w:tcPr>
          <w:p w:rsidR="0010641A" w:rsidRDefault="0010641A" w:rsidP="0010641A">
            <w:pPr>
              <w:pStyle w:val="TH"/>
              <w:spacing w:after="60"/>
            </w:pPr>
            <w:r>
              <w:t>DL Tx</w:t>
            </w:r>
          </w:p>
        </w:tc>
        <w:tc>
          <w:tcPr>
            <w:tcW w:w="3210" w:type="dxa"/>
            <w:vAlign w:val="center"/>
          </w:tcPr>
          <w:p w:rsidR="0010641A" w:rsidRDefault="0010641A" w:rsidP="0010641A">
            <w:pPr>
              <w:pStyle w:val="TH"/>
              <w:spacing w:after="60"/>
            </w:pPr>
            <w:r>
              <w:t>UL Rx</w:t>
            </w:r>
          </w:p>
        </w:tc>
      </w:tr>
      <w:tr w:rsidR="0010641A" w:rsidTr="0010641A">
        <w:tc>
          <w:tcPr>
            <w:tcW w:w="3209" w:type="dxa"/>
            <w:vAlign w:val="center"/>
          </w:tcPr>
          <w:p w:rsidR="0010641A" w:rsidRDefault="0010641A" w:rsidP="0010641A">
            <w:pPr>
              <w:pStyle w:val="TH"/>
              <w:spacing w:after="60"/>
            </w:pPr>
            <w:r>
              <w:t>DL Rx</w:t>
            </w:r>
          </w:p>
        </w:tc>
        <w:tc>
          <w:tcPr>
            <w:tcW w:w="3210" w:type="dxa"/>
            <w:vAlign w:val="center"/>
          </w:tcPr>
          <w:p w:rsidR="0010641A" w:rsidRDefault="0010641A" w:rsidP="0010641A">
            <w:pPr>
              <w:spacing w:after="0"/>
              <w:jc w:val="center"/>
            </w:pPr>
            <w:r>
              <w:t>Tp</w:t>
            </w:r>
          </w:p>
        </w:tc>
        <w:tc>
          <w:tcPr>
            <w:tcW w:w="3210" w:type="dxa"/>
            <w:vAlign w:val="center"/>
          </w:tcPr>
          <w:p w:rsidR="0010641A" w:rsidRDefault="0010641A" w:rsidP="0010641A">
            <w:pPr>
              <w:spacing w:after="0"/>
              <w:jc w:val="center"/>
            </w:pPr>
            <w:r w:rsidRPr="0010641A">
              <w:t>Tp + G</w:t>
            </w:r>
            <w:r w:rsidRPr="0010641A">
              <w:rPr>
                <w:vertAlign w:val="subscript"/>
              </w:rPr>
              <w:t>Rx2Tx</w:t>
            </w:r>
            <w:r w:rsidRPr="0010641A">
              <w:t>( N )</w:t>
            </w:r>
          </w:p>
        </w:tc>
      </w:tr>
      <w:tr w:rsidR="0010641A" w:rsidTr="0010641A">
        <w:tc>
          <w:tcPr>
            <w:tcW w:w="3209" w:type="dxa"/>
            <w:vAlign w:val="center"/>
          </w:tcPr>
          <w:p w:rsidR="0010641A" w:rsidRDefault="000C593A" w:rsidP="0010641A">
            <w:pPr>
              <w:pStyle w:val="TH"/>
              <w:spacing w:after="60"/>
            </w:pPr>
            <w:r>
              <w:t>UL T</w:t>
            </w:r>
            <w:r w:rsidR="0010641A">
              <w:t>x</w:t>
            </w:r>
          </w:p>
        </w:tc>
        <w:tc>
          <w:tcPr>
            <w:tcW w:w="3210" w:type="dxa"/>
            <w:vAlign w:val="center"/>
          </w:tcPr>
          <w:p w:rsidR="0010641A" w:rsidRPr="0010641A" w:rsidRDefault="0010641A" w:rsidP="0010641A">
            <w:pPr>
              <w:spacing w:after="0"/>
              <w:jc w:val="center"/>
              <w:rPr>
                <w:lang w:val="en-US"/>
              </w:rPr>
            </w:pPr>
            <w:r w:rsidRPr="0010641A">
              <w:rPr>
                <w:lang w:val="en-US"/>
              </w:rPr>
              <w:t>-(Tp + G</w:t>
            </w:r>
            <w:r w:rsidRPr="0010641A">
              <w:rPr>
                <w:vertAlign w:val="subscript"/>
                <w:lang w:val="en-US"/>
              </w:rPr>
              <w:t>Rx2Tx</w:t>
            </w:r>
            <w:r w:rsidRPr="0010641A">
              <w:rPr>
                <w:lang w:val="en-US"/>
              </w:rPr>
              <w:t>( N-1 ))</w:t>
            </w:r>
          </w:p>
        </w:tc>
        <w:tc>
          <w:tcPr>
            <w:tcW w:w="3210" w:type="dxa"/>
            <w:vAlign w:val="center"/>
          </w:tcPr>
          <w:p w:rsidR="0010641A" w:rsidRPr="0010641A" w:rsidRDefault="0010641A" w:rsidP="0010641A">
            <w:pPr>
              <w:spacing w:after="0"/>
              <w:jc w:val="center"/>
              <w:rPr>
                <w:lang w:val="en-US"/>
              </w:rPr>
            </w:pPr>
            <w:r w:rsidRPr="0010641A">
              <w:rPr>
                <w:lang w:val="en-US"/>
              </w:rPr>
              <w:t>- (Tp + G</w:t>
            </w:r>
            <w:r w:rsidRPr="0010641A">
              <w:rPr>
                <w:vertAlign w:val="subscript"/>
                <w:lang w:val="en-US"/>
              </w:rPr>
              <w:t>Rx2Tx</w:t>
            </w:r>
            <w:r w:rsidRPr="0010641A">
              <w:rPr>
                <w:lang w:val="en-US"/>
              </w:rPr>
              <w:t>( N-1 ) - G</w:t>
            </w:r>
            <w:r w:rsidRPr="0010641A">
              <w:rPr>
                <w:vertAlign w:val="subscript"/>
                <w:lang w:val="en-US"/>
              </w:rPr>
              <w:t>Rx2Tx</w:t>
            </w:r>
            <w:r w:rsidRPr="0010641A">
              <w:rPr>
                <w:lang w:val="en-US"/>
              </w:rPr>
              <w:t>( N ))</w:t>
            </w:r>
          </w:p>
        </w:tc>
      </w:tr>
    </w:tbl>
    <w:p w:rsidR="00AD187C" w:rsidRDefault="00CE3F56" w:rsidP="00CE3F56">
      <w:pPr>
        <w:pStyle w:val="Caption"/>
        <w:jc w:val="center"/>
      </w:pPr>
      <w:bookmarkStart w:id="6" w:name="_Ref16781822"/>
      <w:r>
        <w:t xml:space="preserve">Table </w:t>
      </w:r>
      <w:r>
        <w:fldChar w:fldCharType="begin"/>
      </w:r>
      <w:r>
        <w:instrText xml:space="preserve"> SEQ Table \* ARABIC </w:instrText>
      </w:r>
      <w:r>
        <w:fldChar w:fldCharType="separate"/>
      </w:r>
      <w:r>
        <w:rPr>
          <w:noProof/>
        </w:rPr>
        <w:t>1</w:t>
      </w:r>
      <w:r>
        <w:fldChar w:fldCharType="end"/>
      </w:r>
      <w:bookmarkEnd w:id="6"/>
      <w:r>
        <w:t xml:space="preserve"> – Timing gap / overlap for MT to DU transitions</w:t>
      </w:r>
    </w:p>
    <w:tbl>
      <w:tblPr>
        <w:tblStyle w:val="TableGrid"/>
        <w:tblW w:w="0" w:type="auto"/>
        <w:tblCellMar>
          <w:left w:w="115" w:type="dxa"/>
          <w:right w:w="115" w:type="dxa"/>
        </w:tblCellMar>
        <w:tblLook w:val="0680" w:firstRow="0" w:lastRow="0" w:firstColumn="1" w:lastColumn="0" w:noHBand="1" w:noVBand="1"/>
      </w:tblPr>
      <w:tblGrid>
        <w:gridCol w:w="3209"/>
        <w:gridCol w:w="3210"/>
        <w:gridCol w:w="3210"/>
      </w:tblGrid>
      <w:tr w:rsidR="000C593A" w:rsidTr="00E13CAF">
        <w:tc>
          <w:tcPr>
            <w:tcW w:w="3209" w:type="dxa"/>
            <w:vAlign w:val="center"/>
          </w:tcPr>
          <w:p w:rsidR="000C593A" w:rsidRDefault="000C593A" w:rsidP="00E13CAF">
            <w:pPr>
              <w:pStyle w:val="TH"/>
              <w:spacing w:after="60"/>
            </w:pPr>
            <w:r>
              <w:lastRenderedPageBreak/>
              <w:t>DU to MT</w:t>
            </w:r>
          </w:p>
        </w:tc>
        <w:tc>
          <w:tcPr>
            <w:tcW w:w="3210" w:type="dxa"/>
            <w:vAlign w:val="center"/>
          </w:tcPr>
          <w:p w:rsidR="000C593A" w:rsidRDefault="000C593A" w:rsidP="00E13CAF">
            <w:pPr>
              <w:pStyle w:val="TH"/>
              <w:spacing w:after="60"/>
            </w:pPr>
            <w:r>
              <w:t>DL Rx</w:t>
            </w:r>
          </w:p>
        </w:tc>
        <w:tc>
          <w:tcPr>
            <w:tcW w:w="3210" w:type="dxa"/>
            <w:vAlign w:val="center"/>
          </w:tcPr>
          <w:p w:rsidR="000C593A" w:rsidRDefault="000C593A" w:rsidP="00E13CAF">
            <w:pPr>
              <w:pStyle w:val="TH"/>
              <w:spacing w:after="60"/>
            </w:pPr>
            <w:r>
              <w:t>UL Tx</w:t>
            </w:r>
          </w:p>
        </w:tc>
      </w:tr>
      <w:tr w:rsidR="000C593A" w:rsidTr="00E13CAF">
        <w:tc>
          <w:tcPr>
            <w:tcW w:w="3209" w:type="dxa"/>
            <w:vAlign w:val="center"/>
          </w:tcPr>
          <w:p w:rsidR="000C593A" w:rsidRDefault="000C593A" w:rsidP="00E13CAF">
            <w:pPr>
              <w:pStyle w:val="TH"/>
              <w:spacing w:after="60"/>
            </w:pPr>
            <w:r>
              <w:t>DL Tx</w:t>
            </w:r>
          </w:p>
        </w:tc>
        <w:tc>
          <w:tcPr>
            <w:tcW w:w="3210" w:type="dxa"/>
            <w:vAlign w:val="center"/>
          </w:tcPr>
          <w:p w:rsidR="000C593A" w:rsidRDefault="000C593A" w:rsidP="00E13CAF">
            <w:pPr>
              <w:spacing w:after="0"/>
              <w:jc w:val="center"/>
            </w:pPr>
            <w:r>
              <w:t>-Tp</w:t>
            </w:r>
          </w:p>
        </w:tc>
        <w:tc>
          <w:tcPr>
            <w:tcW w:w="3210" w:type="dxa"/>
            <w:vAlign w:val="center"/>
          </w:tcPr>
          <w:p w:rsidR="000C593A" w:rsidRDefault="000C593A" w:rsidP="00E13CAF">
            <w:pPr>
              <w:spacing w:after="0"/>
              <w:jc w:val="center"/>
            </w:pPr>
            <w:r w:rsidRPr="0010641A">
              <w:t>Tp + G</w:t>
            </w:r>
            <w:r w:rsidRPr="0010641A">
              <w:rPr>
                <w:vertAlign w:val="subscript"/>
              </w:rPr>
              <w:t>Rx2Tx</w:t>
            </w:r>
            <w:r w:rsidRPr="0010641A">
              <w:t>( N</w:t>
            </w:r>
            <w:r>
              <w:t>-1</w:t>
            </w:r>
            <w:r w:rsidRPr="0010641A">
              <w:t xml:space="preserve"> )</w:t>
            </w:r>
          </w:p>
        </w:tc>
      </w:tr>
      <w:tr w:rsidR="000C593A" w:rsidTr="00E13CAF">
        <w:tc>
          <w:tcPr>
            <w:tcW w:w="3209" w:type="dxa"/>
            <w:vAlign w:val="center"/>
          </w:tcPr>
          <w:p w:rsidR="000C593A" w:rsidRDefault="000C593A" w:rsidP="00E13CAF">
            <w:pPr>
              <w:pStyle w:val="TH"/>
              <w:spacing w:after="60"/>
            </w:pPr>
            <w:r>
              <w:t>UL Rx</w:t>
            </w:r>
          </w:p>
        </w:tc>
        <w:tc>
          <w:tcPr>
            <w:tcW w:w="3210" w:type="dxa"/>
            <w:vAlign w:val="center"/>
          </w:tcPr>
          <w:p w:rsidR="000C593A" w:rsidRPr="0010641A" w:rsidRDefault="000C593A" w:rsidP="00E13CAF">
            <w:pPr>
              <w:spacing w:after="0"/>
              <w:jc w:val="center"/>
              <w:rPr>
                <w:lang w:val="en-US"/>
              </w:rPr>
            </w:pPr>
            <w:r w:rsidRPr="0010641A">
              <w:rPr>
                <w:lang w:val="en-US"/>
              </w:rPr>
              <w:t>-(Tp + G</w:t>
            </w:r>
            <w:r w:rsidRPr="0010641A">
              <w:rPr>
                <w:vertAlign w:val="subscript"/>
                <w:lang w:val="en-US"/>
              </w:rPr>
              <w:t>Rx2Tx</w:t>
            </w:r>
            <w:r w:rsidR="00415FAB">
              <w:rPr>
                <w:lang w:val="en-US"/>
              </w:rPr>
              <w:t>( N</w:t>
            </w:r>
            <w:r w:rsidRPr="0010641A">
              <w:rPr>
                <w:lang w:val="en-US"/>
              </w:rPr>
              <w:t xml:space="preserve"> ))</w:t>
            </w:r>
          </w:p>
        </w:tc>
        <w:tc>
          <w:tcPr>
            <w:tcW w:w="3210" w:type="dxa"/>
            <w:vAlign w:val="center"/>
          </w:tcPr>
          <w:p w:rsidR="000C593A" w:rsidRPr="0010641A" w:rsidRDefault="000C593A" w:rsidP="00E13CAF">
            <w:pPr>
              <w:spacing w:after="0"/>
              <w:jc w:val="center"/>
              <w:rPr>
                <w:lang w:val="en-US"/>
              </w:rPr>
            </w:pPr>
            <w:r w:rsidRPr="0010641A">
              <w:rPr>
                <w:lang w:val="en-US"/>
              </w:rPr>
              <w:t>Tp + G</w:t>
            </w:r>
            <w:r w:rsidRPr="0010641A">
              <w:rPr>
                <w:vertAlign w:val="subscript"/>
                <w:lang w:val="en-US"/>
              </w:rPr>
              <w:t>Rx2Tx</w:t>
            </w:r>
            <w:r w:rsidRPr="0010641A">
              <w:rPr>
                <w:lang w:val="en-US"/>
              </w:rPr>
              <w:t>( N-1 ) - G</w:t>
            </w:r>
            <w:r w:rsidRPr="0010641A">
              <w:rPr>
                <w:vertAlign w:val="subscript"/>
                <w:lang w:val="en-US"/>
              </w:rPr>
              <w:t>Rx2Tx</w:t>
            </w:r>
            <w:r w:rsidR="00415FAB">
              <w:rPr>
                <w:lang w:val="en-US"/>
              </w:rPr>
              <w:t>( N )</w:t>
            </w:r>
          </w:p>
        </w:tc>
      </w:tr>
    </w:tbl>
    <w:p w:rsidR="000C593A" w:rsidRDefault="000C593A" w:rsidP="000C593A">
      <w:pPr>
        <w:pStyle w:val="Caption"/>
        <w:jc w:val="center"/>
      </w:pPr>
      <w:bookmarkStart w:id="7" w:name="_Ref16781838"/>
      <w:r>
        <w:t xml:space="preserve">Table </w:t>
      </w:r>
      <w:r>
        <w:fldChar w:fldCharType="begin"/>
      </w:r>
      <w:r>
        <w:instrText xml:space="preserve"> SEQ Table \* ARABIC </w:instrText>
      </w:r>
      <w:r>
        <w:fldChar w:fldCharType="separate"/>
      </w:r>
      <w:r>
        <w:rPr>
          <w:noProof/>
        </w:rPr>
        <w:t>2</w:t>
      </w:r>
      <w:r>
        <w:fldChar w:fldCharType="end"/>
      </w:r>
      <w:bookmarkEnd w:id="7"/>
      <w:r>
        <w:t xml:space="preserve"> – Timing gap / overlap for DU to MT transitions</w:t>
      </w:r>
    </w:p>
    <w:p w:rsidR="0084402A" w:rsidRDefault="0084402A" w:rsidP="000C593A"/>
    <w:p w:rsidR="000C593A" w:rsidRPr="000C593A" w:rsidRDefault="0084402A" w:rsidP="000C593A">
      <w:r>
        <w:t>It can be observed that all the above quantities are obviously known at the IAB node but not necessarily at the parent node or at the CU unless additional information is provided to them.</w:t>
      </w:r>
    </w:p>
    <w:p w:rsidR="008206EE" w:rsidRDefault="008206EE" w:rsidP="008206EE">
      <w:r>
        <w:t xml:space="preserve">In </w:t>
      </w:r>
      <w:r w:rsidR="006E0485">
        <w:t>general,</w:t>
      </w:r>
      <w:r>
        <w:t xml:space="preserve"> there are two solutions to deal with the partial overlap of resources:</w:t>
      </w:r>
    </w:p>
    <w:p w:rsidR="008206EE" w:rsidRDefault="000E727F" w:rsidP="008206EE">
      <w:pPr>
        <w:pStyle w:val="ListParagraph"/>
        <w:numPr>
          <w:ilvl w:val="0"/>
          <w:numId w:val="6"/>
        </w:numPr>
      </w:pPr>
      <w:r>
        <w:t>Explicitly i</w:t>
      </w:r>
      <w:r w:rsidR="008206EE">
        <w:t>ntroduce gaps</w:t>
      </w:r>
      <w:r w:rsidR="00D3205E">
        <w:t xml:space="preserve"> </w:t>
      </w:r>
      <w:r w:rsidR="002921AA">
        <w:t xml:space="preserve">in the resource configuration </w:t>
      </w:r>
      <w:r w:rsidR="00D3205E">
        <w:t>to avoid the overlap</w:t>
      </w:r>
      <w:r w:rsidR="00506A93">
        <w:t>.</w:t>
      </w:r>
    </w:p>
    <w:p w:rsidR="000E727F" w:rsidRDefault="000E727F" w:rsidP="008206EE">
      <w:pPr>
        <w:pStyle w:val="ListParagraph"/>
        <w:numPr>
          <w:ilvl w:val="0"/>
          <w:numId w:val="6"/>
        </w:numPr>
      </w:pPr>
      <w:r>
        <w:t>Define a conflict resolution behaviour</w:t>
      </w:r>
      <w:r w:rsidR="00506A93">
        <w:t>.</w:t>
      </w:r>
    </w:p>
    <w:p w:rsidR="000E727F" w:rsidRDefault="006712F5" w:rsidP="000E727F">
      <w:r>
        <w:t xml:space="preserve">Solution 1) requires knowledge of the </w:t>
      </w:r>
      <w:r w:rsidR="00C304C3">
        <w:t xml:space="preserve">overlap length, unless a conservative approach is taken and a worst case </w:t>
      </w:r>
      <w:r w:rsidR="009E5477">
        <w:t xml:space="preserve">value is chosen. That is </w:t>
      </w:r>
      <w:r w:rsidR="00C304C3">
        <w:t xml:space="preserve">not </w:t>
      </w:r>
      <w:r w:rsidR="009E5477">
        <w:t xml:space="preserve">an </w:t>
      </w:r>
      <w:r w:rsidR="00C304C3">
        <w:t>optimum</w:t>
      </w:r>
      <w:r w:rsidR="009E5477">
        <w:t xml:space="preserve"> approach,</w:t>
      </w:r>
      <w:r w:rsidR="00C304C3">
        <w:t xml:space="preserve"> as in all other cases it leads to </w:t>
      </w:r>
      <w:r w:rsidR="006E0485">
        <w:t>underutilization</w:t>
      </w:r>
      <w:r w:rsidR="00C304C3">
        <w:t xml:space="preserve"> of resources. An optimum solution, if implemented outside of the given IAB node (e.g. at the CU), </w:t>
      </w:r>
      <w:r>
        <w:t xml:space="preserve">would require additional information </w:t>
      </w:r>
      <w:r w:rsidR="00C304C3">
        <w:t>so that an appropriate gap length can be configured.</w:t>
      </w:r>
      <w:r w:rsidR="002921AA">
        <w:t xml:space="preserve"> There is also some additional complexity as these gaps would need to be specifi</w:t>
      </w:r>
      <w:r w:rsidR="000D6323">
        <w:t>ed with symbol level resolution.</w:t>
      </w:r>
    </w:p>
    <w:p w:rsidR="00C304C3" w:rsidRDefault="009866A3" w:rsidP="000E727F">
      <w:r>
        <w:t xml:space="preserve">Solution 2) </w:t>
      </w:r>
      <w:r w:rsidR="002921AA">
        <w:t xml:space="preserve">does not require any resource configuration change and relies on the IAB node to </w:t>
      </w:r>
      <w:r w:rsidR="00A84095">
        <w:t xml:space="preserve">a) </w:t>
      </w:r>
      <w:r w:rsidR="002921AA">
        <w:t xml:space="preserve">determine the presence of a resource overlap and to </w:t>
      </w:r>
      <w:r w:rsidR="00A84095">
        <w:t xml:space="preserve">b) </w:t>
      </w:r>
      <w:r w:rsidR="002921AA">
        <w:t xml:space="preserve">define a behaviour, left to the implementation, to manage the resource conflict. Essentially an overlap over a symbol is treated as a Hard || Hard resource conflict and the already agreed method to </w:t>
      </w:r>
      <w:r w:rsidR="00506A93">
        <w:t>manage</w:t>
      </w:r>
      <w:r w:rsidR="002921AA">
        <w:t xml:space="preserve"> such situation applies [</w:t>
      </w:r>
      <w:r w:rsidR="007102B0">
        <w:t>2</w:t>
      </w:r>
      <w:r w:rsidR="002921AA">
        <w:t>].</w:t>
      </w:r>
      <w:r w:rsidR="00150789">
        <w:t xml:space="preserve"> One </w:t>
      </w:r>
      <w:r w:rsidR="00506A93">
        <w:t xml:space="preserve">key </w:t>
      </w:r>
      <w:r w:rsidR="00150789">
        <w:t>benefit of this approach is that it does not require any additional change and it can already be supported within the available framework.</w:t>
      </w:r>
      <w:r w:rsidR="00564685">
        <w:t xml:space="preserve"> Hence solution 2) is recommended.</w:t>
      </w:r>
    </w:p>
    <w:p w:rsidR="00035675" w:rsidRPr="004F4239" w:rsidRDefault="00035675" w:rsidP="00035675">
      <w:pPr>
        <w:rPr>
          <w:rStyle w:val="Strong"/>
          <w:u w:val="single"/>
        </w:rPr>
      </w:pPr>
      <w:r>
        <w:rPr>
          <w:rStyle w:val="Strong"/>
          <w:u w:val="single"/>
        </w:rPr>
        <w:t>Observation 8</w:t>
      </w:r>
      <w:r w:rsidRPr="004F4239">
        <w:rPr>
          <w:rStyle w:val="Strong"/>
          <w:u w:val="single"/>
        </w:rPr>
        <w:t>:</w:t>
      </w:r>
    </w:p>
    <w:p w:rsidR="00035675" w:rsidRPr="00035675" w:rsidRDefault="00035675" w:rsidP="00035675">
      <w:pPr>
        <w:rPr>
          <w:b/>
        </w:rPr>
      </w:pPr>
      <w:r w:rsidRPr="00035675">
        <w:rPr>
          <w:b/>
        </w:rPr>
        <w:t xml:space="preserve">In </w:t>
      </w:r>
      <w:r w:rsidR="006E0485" w:rsidRPr="00035675">
        <w:rPr>
          <w:b/>
        </w:rPr>
        <w:t>general,</w:t>
      </w:r>
      <w:r w:rsidRPr="00035675">
        <w:rPr>
          <w:b/>
        </w:rPr>
        <w:t xml:space="preserve"> there are two solutions to deal with the partial overlap of resources:</w:t>
      </w:r>
    </w:p>
    <w:p w:rsidR="00035675" w:rsidRPr="00035675" w:rsidRDefault="00035675" w:rsidP="00035675">
      <w:pPr>
        <w:pStyle w:val="ListParagraph"/>
        <w:numPr>
          <w:ilvl w:val="0"/>
          <w:numId w:val="17"/>
        </w:numPr>
        <w:rPr>
          <w:b/>
        </w:rPr>
      </w:pPr>
      <w:r w:rsidRPr="00035675">
        <w:rPr>
          <w:b/>
        </w:rPr>
        <w:t>Explicitly introduce gaps in the resource configuration to avoid the overlap.</w:t>
      </w:r>
    </w:p>
    <w:p w:rsidR="00035675" w:rsidRPr="00035675" w:rsidRDefault="00035675" w:rsidP="00035675">
      <w:pPr>
        <w:pStyle w:val="ListParagraph"/>
        <w:numPr>
          <w:ilvl w:val="0"/>
          <w:numId w:val="17"/>
        </w:numPr>
        <w:rPr>
          <w:b/>
        </w:rPr>
      </w:pPr>
      <w:r w:rsidRPr="00035675">
        <w:rPr>
          <w:b/>
        </w:rPr>
        <w:t>Define a conflict resolution behaviour.</w:t>
      </w:r>
    </w:p>
    <w:p w:rsidR="00035675" w:rsidRPr="00035675" w:rsidRDefault="00035675" w:rsidP="000E727F">
      <w:pPr>
        <w:rPr>
          <w:b/>
        </w:rPr>
      </w:pPr>
      <w:r w:rsidRPr="00035675">
        <w:rPr>
          <w:b/>
        </w:rPr>
        <w:t>Solution 2) does not require any resource configuration change and relies on the IAB node to a) determine the presence of a resource overlap and to b) define a behaviour, left to the implementation, to manage the resource conflict</w:t>
      </w:r>
      <w:r>
        <w:rPr>
          <w:b/>
        </w:rPr>
        <w:t>, similarly to the agreed handling of residual resource conflicts not addressed in the semi-static resource configuration stage</w:t>
      </w:r>
      <w:r w:rsidRPr="00035675">
        <w:rPr>
          <w:b/>
        </w:rPr>
        <w:t>.</w:t>
      </w:r>
    </w:p>
    <w:p w:rsidR="00035675" w:rsidRDefault="00035675" w:rsidP="000E727F"/>
    <w:p w:rsidR="00C05E29" w:rsidRPr="004F4239" w:rsidRDefault="00C05E29" w:rsidP="00C05E29">
      <w:pPr>
        <w:rPr>
          <w:rStyle w:val="Strong"/>
          <w:u w:val="single"/>
        </w:rPr>
      </w:pPr>
      <w:r w:rsidRPr="004F4239">
        <w:rPr>
          <w:rStyle w:val="Strong"/>
          <w:u w:val="single"/>
        </w:rPr>
        <w:t>Proposal</w:t>
      </w:r>
      <w:r w:rsidR="00A23E05">
        <w:rPr>
          <w:rStyle w:val="Strong"/>
          <w:u w:val="single"/>
        </w:rPr>
        <w:t xml:space="preserve"> 2</w:t>
      </w:r>
      <w:r w:rsidRPr="004F4239">
        <w:rPr>
          <w:rStyle w:val="Strong"/>
          <w:u w:val="single"/>
        </w:rPr>
        <w:t>:</w:t>
      </w:r>
    </w:p>
    <w:p w:rsidR="00C05E29" w:rsidRDefault="00C05E29" w:rsidP="00C05E29">
      <w:pPr>
        <w:rPr>
          <w:rStyle w:val="Strong"/>
        </w:rPr>
      </w:pPr>
      <w:r>
        <w:rPr>
          <w:rStyle w:val="Strong"/>
        </w:rPr>
        <w:t>Partial slot resource conflicts originating from the timing skew between MT slot timing and DU slot timing are treated in the same way as Hard || Hard resource conflict, i.e. t</w:t>
      </w:r>
      <w:r w:rsidRPr="00C05E29">
        <w:rPr>
          <w:rStyle w:val="Strong"/>
        </w:rPr>
        <w:t>he decision on whether to give priority to the DU or to the MT for the use of the resource is left</w:t>
      </w:r>
      <w:r>
        <w:rPr>
          <w:rStyle w:val="Strong"/>
        </w:rPr>
        <w:t xml:space="preserve"> to the IAB node implementation. </w:t>
      </w:r>
    </w:p>
    <w:p w:rsidR="00C05E29" w:rsidRDefault="00C05E29" w:rsidP="000E727F"/>
    <w:p w:rsidR="00695BF8" w:rsidRDefault="00695BF8" w:rsidP="000E727F"/>
    <w:p w:rsidR="00695BF8" w:rsidRDefault="00695BF8" w:rsidP="000E727F"/>
    <w:p w:rsidR="00035675" w:rsidRDefault="00035675" w:rsidP="000E727F"/>
    <w:p w:rsidR="00035675" w:rsidRDefault="00035675" w:rsidP="000E727F"/>
    <w:p w:rsidR="00035675" w:rsidRDefault="00035675" w:rsidP="000E727F"/>
    <w:p w:rsidR="00035675" w:rsidRPr="008206EE" w:rsidRDefault="00035675" w:rsidP="000E727F"/>
    <w:p w:rsidR="00652213" w:rsidRDefault="007458D9" w:rsidP="00D14BA0">
      <w:pPr>
        <w:pStyle w:val="Heading3"/>
      </w:pPr>
      <w:r>
        <w:lastRenderedPageBreak/>
        <w:t>Conclusion</w:t>
      </w:r>
    </w:p>
    <w:p w:rsidR="00564685" w:rsidRDefault="000F7CCC" w:rsidP="00652213">
      <w:r>
        <w:t xml:space="preserve">This contribution </w:t>
      </w:r>
      <w:r w:rsidR="00564685">
        <w:t>provided</w:t>
      </w:r>
      <w:r>
        <w:t xml:space="preserve"> considerations and recommendations for the main remaining open issues for IAB resource management</w:t>
      </w:r>
      <w:r w:rsidR="00564685">
        <w:t>.</w:t>
      </w:r>
    </w:p>
    <w:p w:rsidR="007458D9" w:rsidRDefault="00564685" w:rsidP="00652213">
      <w:r>
        <w:t>The following observations were made:</w:t>
      </w:r>
    </w:p>
    <w:p w:rsidR="00564685" w:rsidRPr="004F4239" w:rsidRDefault="00564685" w:rsidP="00564685">
      <w:pPr>
        <w:rPr>
          <w:rStyle w:val="Strong"/>
          <w:u w:val="single"/>
        </w:rPr>
      </w:pPr>
      <w:r>
        <w:rPr>
          <w:rStyle w:val="Strong"/>
          <w:u w:val="single"/>
        </w:rPr>
        <w:t>Observation 1</w:t>
      </w:r>
      <w:r w:rsidRPr="004F4239">
        <w:rPr>
          <w:rStyle w:val="Strong"/>
          <w:u w:val="single"/>
        </w:rPr>
        <w:t>:</w:t>
      </w:r>
    </w:p>
    <w:p w:rsidR="00564685" w:rsidRDefault="00564685" w:rsidP="00564685">
      <w:r>
        <w:rPr>
          <w:rStyle w:val="Strong"/>
        </w:rPr>
        <w:t>The evaluated DU configuration options are equivalent in terms of amount of information to be signalled.</w:t>
      </w:r>
    </w:p>
    <w:p w:rsidR="00564685" w:rsidRPr="004F4239" w:rsidRDefault="00564685" w:rsidP="00564685">
      <w:pPr>
        <w:rPr>
          <w:rStyle w:val="Strong"/>
          <w:u w:val="single"/>
        </w:rPr>
      </w:pPr>
      <w:r>
        <w:rPr>
          <w:rStyle w:val="Strong"/>
          <w:u w:val="single"/>
        </w:rPr>
        <w:t>Observation 2</w:t>
      </w:r>
      <w:r w:rsidRPr="004F4239">
        <w:rPr>
          <w:rStyle w:val="Strong"/>
          <w:u w:val="single"/>
        </w:rPr>
        <w:t>:</w:t>
      </w:r>
    </w:p>
    <w:p w:rsidR="00564685" w:rsidRDefault="00564685" w:rsidP="00564685">
      <w:r>
        <w:rPr>
          <w:rStyle w:val="Strong"/>
        </w:rPr>
        <w:t>The evaluated DU configuration options are equivalent in terms of associated configuration complexity at the CU.</w:t>
      </w:r>
    </w:p>
    <w:p w:rsidR="00564685" w:rsidRPr="004F4239" w:rsidRDefault="00564685" w:rsidP="00564685">
      <w:pPr>
        <w:rPr>
          <w:rStyle w:val="Strong"/>
          <w:u w:val="single"/>
        </w:rPr>
      </w:pPr>
      <w:r>
        <w:rPr>
          <w:rStyle w:val="Strong"/>
          <w:u w:val="single"/>
        </w:rPr>
        <w:t>Observation 3</w:t>
      </w:r>
      <w:r w:rsidRPr="004F4239">
        <w:rPr>
          <w:rStyle w:val="Strong"/>
          <w:u w:val="single"/>
        </w:rPr>
        <w:t>:</w:t>
      </w:r>
    </w:p>
    <w:p w:rsidR="00564685" w:rsidRDefault="00564685" w:rsidP="00564685">
      <w:r>
        <w:rPr>
          <w:rStyle w:val="Strong"/>
        </w:rPr>
        <w:t>The evaluated DU configuration options are equivalent in terms of ability to manage conflict resolution, provided the herein recommended approach is taken for such conflict resolution.</w:t>
      </w:r>
    </w:p>
    <w:p w:rsidR="00564685" w:rsidRPr="004F4239" w:rsidRDefault="00564685" w:rsidP="00564685">
      <w:pPr>
        <w:rPr>
          <w:rStyle w:val="Strong"/>
          <w:u w:val="single"/>
        </w:rPr>
      </w:pPr>
      <w:r>
        <w:rPr>
          <w:rStyle w:val="Strong"/>
          <w:u w:val="single"/>
        </w:rPr>
        <w:t>Observation 4</w:t>
      </w:r>
      <w:r w:rsidRPr="004F4239">
        <w:rPr>
          <w:rStyle w:val="Strong"/>
          <w:u w:val="single"/>
        </w:rPr>
        <w:t>:</w:t>
      </w:r>
    </w:p>
    <w:p w:rsidR="00564685" w:rsidRDefault="00564685" w:rsidP="00564685">
      <w:r>
        <w:rPr>
          <w:rStyle w:val="Strong"/>
        </w:rPr>
        <w:t>The evaluated DU configuration options are equivalent in terms of implementation considerations.</w:t>
      </w:r>
    </w:p>
    <w:p w:rsidR="00564685" w:rsidRPr="004F4239" w:rsidRDefault="00564685" w:rsidP="00564685">
      <w:pPr>
        <w:rPr>
          <w:rStyle w:val="Strong"/>
          <w:u w:val="single"/>
        </w:rPr>
      </w:pPr>
      <w:r>
        <w:rPr>
          <w:rStyle w:val="Strong"/>
          <w:u w:val="single"/>
        </w:rPr>
        <w:t>Observation 5</w:t>
      </w:r>
      <w:r w:rsidRPr="004F4239">
        <w:rPr>
          <w:rStyle w:val="Strong"/>
          <w:u w:val="single"/>
        </w:rPr>
        <w:t>:</w:t>
      </w:r>
    </w:p>
    <w:p w:rsidR="00564685" w:rsidRDefault="00564685" w:rsidP="00564685">
      <w:pPr>
        <w:rPr>
          <w:rStyle w:val="Strong"/>
        </w:rPr>
      </w:pPr>
      <w:r>
        <w:rPr>
          <w:rStyle w:val="Strong"/>
        </w:rPr>
        <w:t>Alternative 2 requires some special handling in case of multiple DUs allocated to different channels and/or bands.</w:t>
      </w:r>
    </w:p>
    <w:p w:rsidR="00564685" w:rsidRPr="004F4239" w:rsidRDefault="00564685" w:rsidP="00564685">
      <w:pPr>
        <w:rPr>
          <w:rStyle w:val="Strong"/>
          <w:u w:val="single"/>
        </w:rPr>
      </w:pPr>
      <w:r>
        <w:rPr>
          <w:rStyle w:val="Strong"/>
          <w:u w:val="single"/>
        </w:rPr>
        <w:t>Observation 6</w:t>
      </w:r>
      <w:r w:rsidRPr="004F4239">
        <w:rPr>
          <w:rStyle w:val="Strong"/>
          <w:u w:val="single"/>
        </w:rPr>
        <w:t>:</w:t>
      </w:r>
    </w:p>
    <w:p w:rsidR="00564685" w:rsidRPr="003F2BAD" w:rsidRDefault="00564685" w:rsidP="00564685">
      <w:pPr>
        <w:rPr>
          <w:b/>
        </w:rPr>
      </w:pPr>
      <w:r w:rsidRPr="003F2BAD">
        <w:rPr>
          <w:b/>
        </w:rPr>
        <w:t>There are possible scenarios in which it is desirable to have the ability to restrict the resources available to a DU in a given link to a child node beyond what the DU could infer from the knowledge of the child node DU configuration. For such scenarios can be handled by extending Alternative 1 to have the NA attribute to be per-child IAB node specific.</w:t>
      </w:r>
    </w:p>
    <w:p w:rsidR="006A5039" w:rsidRPr="004F4239" w:rsidRDefault="006A5039" w:rsidP="006A5039">
      <w:pPr>
        <w:rPr>
          <w:rStyle w:val="Strong"/>
          <w:u w:val="single"/>
        </w:rPr>
      </w:pPr>
      <w:r>
        <w:rPr>
          <w:rStyle w:val="Strong"/>
          <w:u w:val="single"/>
        </w:rPr>
        <w:t>Observation 7</w:t>
      </w:r>
      <w:r w:rsidRPr="004F4239">
        <w:rPr>
          <w:rStyle w:val="Strong"/>
          <w:u w:val="single"/>
        </w:rPr>
        <w:t>:</w:t>
      </w:r>
    </w:p>
    <w:p w:rsidR="006A5039" w:rsidRPr="00564685" w:rsidRDefault="006A5039" w:rsidP="006A5039">
      <w:pPr>
        <w:rPr>
          <w:b/>
        </w:rPr>
      </w:pPr>
      <w:r w:rsidRPr="00564685">
        <w:rPr>
          <w:b/>
        </w:rPr>
        <w:t>The length of the overlap and gap regions at the MT to DU and DU to MT resource transition boundaries at an IAB node depends on:</w:t>
      </w:r>
    </w:p>
    <w:p w:rsidR="006A5039" w:rsidRPr="00564685" w:rsidRDefault="006A5039" w:rsidP="006A5039">
      <w:pPr>
        <w:pStyle w:val="ListParagraph"/>
        <w:numPr>
          <w:ilvl w:val="0"/>
          <w:numId w:val="16"/>
        </w:numPr>
        <w:rPr>
          <w:b/>
        </w:rPr>
      </w:pPr>
      <w:r w:rsidRPr="00564685">
        <w:rPr>
          <w:b/>
        </w:rPr>
        <w:t>The propagation delay from the parent node, Tp.</w:t>
      </w:r>
    </w:p>
    <w:p w:rsidR="006A5039" w:rsidRPr="00564685" w:rsidRDefault="006A5039" w:rsidP="006A5039">
      <w:pPr>
        <w:pStyle w:val="ListParagraph"/>
        <w:numPr>
          <w:ilvl w:val="0"/>
          <w:numId w:val="16"/>
        </w:numPr>
        <w:rPr>
          <w:b/>
        </w:rPr>
      </w:pPr>
      <w:r w:rsidRPr="00564685">
        <w:rPr>
          <w:b/>
        </w:rPr>
        <w:t>The timing skew between the DL slot boundaries and the UL slot boundaries at the node, G</w:t>
      </w:r>
      <w:r w:rsidRPr="00564685">
        <w:rPr>
          <w:b/>
          <w:vertAlign w:val="subscript"/>
        </w:rPr>
        <w:t>Rx2Tx</w:t>
      </w:r>
      <w:r w:rsidRPr="00564685">
        <w:rPr>
          <w:b/>
        </w:rPr>
        <w:t>.</w:t>
      </w:r>
    </w:p>
    <w:p w:rsidR="00035675" w:rsidRPr="004F4239" w:rsidRDefault="00035675" w:rsidP="00035675">
      <w:pPr>
        <w:rPr>
          <w:rStyle w:val="Strong"/>
          <w:u w:val="single"/>
        </w:rPr>
      </w:pPr>
      <w:r>
        <w:rPr>
          <w:rStyle w:val="Strong"/>
          <w:u w:val="single"/>
        </w:rPr>
        <w:t>Observation 8</w:t>
      </w:r>
      <w:r w:rsidRPr="004F4239">
        <w:rPr>
          <w:rStyle w:val="Strong"/>
          <w:u w:val="single"/>
        </w:rPr>
        <w:t>:</w:t>
      </w:r>
    </w:p>
    <w:p w:rsidR="00035675" w:rsidRPr="00035675" w:rsidRDefault="00035675" w:rsidP="00035675">
      <w:pPr>
        <w:rPr>
          <w:b/>
        </w:rPr>
      </w:pPr>
      <w:r w:rsidRPr="00035675">
        <w:rPr>
          <w:b/>
        </w:rPr>
        <w:t xml:space="preserve">In </w:t>
      </w:r>
      <w:r w:rsidR="006E0485" w:rsidRPr="00035675">
        <w:rPr>
          <w:b/>
        </w:rPr>
        <w:t>general,</w:t>
      </w:r>
      <w:r w:rsidRPr="00035675">
        <w:rPr>
          <w:b/>
        </w:rPr>
        <w:t xml:space="preserve"> there are two solutions to deal with the partial overlap of resources:</w:t>
      </w:r>
    </w:p>
    <w:p w:rsidR="00035675" w:rsidRPr="00035675" w:rsidRDefault="00035675" w:rsidP="00035675">
      <w:pPr>
        <w:pStyle w:val="ListParagraph"/>
        <w:numPr>
          <w:ilvl w:val="0"/>
          <w:numId w:val="18"/>
        </w:numPr>
        <w:rPr>
          <w:b/>
        </w:rPr>
      </w:pPr>
      <w:r w:rsidRPr="00035675">
        <w:rPr>
          <w:b/>
        </w:rPr>
        <w:t>Explicitly introduce gaps in the resource configuration to avoid the overlap.</w:t>
      </w:r>
    </w:p>
    <w:p w:rsidR="00035675" w:rsidRPr="00035675" w:rsidRDefault="00035675" w:rsidP="00035675">
      <w:pPr>
        <w:pStyle w:val="ListParagraph"/>
        <w:numPr>
          <w:ilvl w:val="0"/>
          <w:numId w:val="18"/>
        </w:numPr>
        <w:rPr>
          <w:b/>
        </w:rPr>
      </w:pPr>
      <w:r w:rsidRPr="00035675">
        <w:rPr>
          <w:b/>
        </w:rPr>
        <w:t>Define a conflict resolution behaviour.</w:t>
      </w:r>
    </w:p>
    <w:p w:rsidR="00564685" w:rsidRPr="00035675" w:rsidRDefault="00035675" w:rsidP="00564685">
      <w:pPr>
        <w:rPr>
          <w:b/>
        </w:rPr>
      </w:pPr>
      <w:r w:rsidRPr="00035675">
        <w:rPr>
          <w:b/>
        </w:rPr>
        <w:t>Solution 2) does not require any resource configuration change and relies on the IAB node to a) determine the presence of a resource overlap and to b) define a behaviour, left to the implementation, to manage the resource conflict</w:t>
      </w:r>
      <w:r>
        <w:rPr>
          <w:b/>
        </w:rPr>
        <w:t>, similarly to the agreed handling of residual resource conflicts not addressed in the semi-static resource configuration stage</w:t>
      </w:r>
      <w:r w:rsidRPr="00035675">
        <w:rPr>
          <w:b/>
        </w:rPr>
        <w:t>.</w:t>
      </w:r>
    </w:p>
    <w:p w:rsidR="00035675" w:rsidRDefault="00035675" w:rsidP="00652213"/>
    <w:p w:rsidR="00035675" w:rsidRDefault="00035675" w:rsidP="00652213"/>
    <w:p w:rsidR="00035675" w:rsidRDefault="00035675" w:rsidP="00652213"/>
    <w:p w:rsidR="00035675" w:rsidRDefault="00035675" w:rsidP="00652213"/>
    <w:p w:rsidR="00035675" w:rsidRDefault="00035675" w:rsidP="00652213"/>
    <w:p w:rsidR="00564685" w:rsidRDefault="00564685" w:rsidP="00652213">
      <w:r>
        <w:lastRenderedPageBreak/>
        <w:t>The following proposals were made:</w:t>
      </w:r>
    </w:p>
    <w:p w:rsidR="00035675" w:rsidRPr="004F4239" w:rsidRDefault="00035675" w:rsidP="00035675">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035675" w:rsidRDefault="00035675" w:rsidP="00035675">
      <w:pPr>
        <w:rPr>
          <w:rStyle w:val="Strong"/>
        </w:rPr>
      </w:pPr>
      <w:r>
        <w:rPr>
          <w:rStyle w:val="Strong"/>
        </w:rPr>
        <w:t>The DU is semi-statically configured with H / S / NA attributes for each resource.</w:t>
      </w:r>
    </w:p>
    <w:p w:rsidR="00035675" w:rsidRDefault="00035675" w:rsidP="00035675">
      <w:pPr>
        <w:rPr>
          <w:rStyle w:val="Strong"/>
        </w:rPr>
      </w:pPr>
      <w:r>
        <w:rPr>
          <w:rStyle w:val="Strong"/>
        </w:rPr>
        <w:t>The NA attribute is optionally provided for each link to a child IAB node.</w:t>
      </w:r>
    </w:p>
    <w:p w:rsidR="00035675" w:rsidRPr="004F4239" w:rsidRDefault="00035675" w:rsidP="00035675">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035675" w:rsidRDefault="00035675" w:rsidP="00035675">
      <w:pPr>
        <w:rPr>
          <w:rStyle w:val="Strong"/>
        </w:rPr>
      </w:pPr>
      <w:r>
        <w:rPr>
          <w:rStyle w:val="Strong"/>
        </w:rPr>
        <w:t>Partial slot resource conflicts originating from the timing skew between MT slot timing and DU slot timing are treated in the same way as Hard || Hard resource conflict, i.e. t</w:t>
      </w:r>
      <w:r w:rsidRPr="00C05E29">
        <w:rPr>
          <w:rStyle w:val="Strong"/>
        </w:rPr>
        <w:t>he decision on whether to give priority to the DU or to the MT for the use of the resource is left</w:t>
      </w:r>
      <w:r>
        <w:rPr>
          <w:rStyle w:val="Strong"/>
        </w:rPr>
        <w:t xml:space="preserve"> to the IAB node implementation. </w:t>
      </w:r>
    </w:p>
    <w:p w:rsidR="00564685" w:rsidRDefault="00564685" w:rsidP="00652213"/>
    <w:p w:rsidR="00D14BA0" w:rsidRDefault="00D14BA0" w:rsidP="00D14BA0">
      <w:pPr>
        <w:pStyle w:val="Heading3"/>
      </w:pPr>
      <w:r>
        <w:t>References</w:t>
      </w:r>
    </w:p>
    <w:p w:rsidR="007102B0" w:rsidRDefault="007102B0" w:rsidP="007102B0">
      <w:r>
        <w:t>[1]</w:t>
      </w:r>
      <w:r>
        <w:tab/>
      </w:r>
      <w:r>
        <w:tab/>
      </w:r>
      <w:r>
        <w:tab/>
      </w:r>
      <w:r>
        <w:t>RAN1 #97 IAB</w:t>
      </w:r>
      <w:r>
        <w:t xml:space="preserve"> agreements.</w:t>
      </w:r>
    </w:p>
    <w:p w:rsidR="007102B0" w:rsidRDefault="007102B0" w:rsidP="007102B0">
      <w:r>
        <w:t>[2</w:t>
      </w:r>
      <w:r>
        <w:t>]</w:t>
      </w:r>
      <w:r>
        <w:tab/>
      </w:r>
      <w:r>
        <w:tab/>
      </w:r>
      <w:r>
        <w:tab/>
        <w:t xml:space="preserve">RAN1 #96bis </w:t>
      </w:r>
      <w:r>
        <w:t xml:space="preserve">IAB </w:t>
      </w:r>
      <w:r>
        <w:t>agreements.</w:t>
      </w:r>
    </w:p>
    <w:p w:rsidR="00BA7C88" w:rsidRDefault="00BA7C88" w:rsidP="009E1DB0"/>
    <w:p w:rsidR="00BD62C8" w:rsidRPr="009B5DA9" w:rsidRDefault="00BD62C8" w:rsidP="009E1DB0"/>
    <w:sectPr w:rsidR="00BD62C8" w:rsidRPr="009B5DA9">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EC3" w:rsidRDefault="00A06EC3">
      <w:pPr>
        <w:spacing w:after="0"/>
      </w:pPr>
      <w:r>
        <w:separator/>
      </w:r>
    </w:p>
  </w:endnote>
  <w:endnote w:type="continuationSeparator" w:id="0">
    <w:p w:rsidR="00A06EC3" w:rsidRDefault="00A06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EC3" w:rsidRDefault="00A06EC3">
      <w:pPr>
        <w:spacing w:after="0"/>
      </w:pPr>
      <w:r>
        <w:separator/>
      </w:r>
    </w:p>
  </w:footnote>
  <w:footnote w:type="continuationSeparator" w:id="0">
    <w:p w:rsidR="00A06EC3" w:rsidRDefault="00A06E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768" w:rsidRDefault="00A957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90E9A"/>
    <w:multiLevelType w:val="hybridMultilevel"/>
    <w:tmpl w:val="9E300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1524A"/>
    <w:multiLevelType w:val="hybridMultilevel"/>
    <w:tmpl w:val="0DCC9012"/>
    <w:lvl w:ilvl="0" w:tplc="F55453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7291A4A"/>
    <w:multiLevelType w:val="hybridMultilevel"/>
    <w:tmpl w:val="06684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654F2D"/>
    <w:multiLevelType w:val="hybridMultilevel"/>
    <w:tmpl w:val="5EBCC2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E5D92"/>
    <w:multiLevelType w:val="hybridMultilevel"/>
    <w:tmpl w:val="5EBCC2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036B41"/>
    <w:multiLevelType w:val="hybridMultilevel"/>
    <w:tmpl w:val="5EBCC2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CB2ADC"/>
    <w:multiLevelType w:val="hybridMultilevel"/>
    <w:tmpl w:val="06684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AB2E18"/>
    <w:multiLevelType w:val="hybridMultilevel"/>
    <w:tmpl w:val="7D2A2E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1D2B49"/>
    <w:multiLevelType w:val="hybridMultilevel"/>
    <w:tmpl w:val="23F85640"/>
    <w:lvl w:ilvl="0" w:tplc="0A326E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25B1D"/>
    <w:multiLevelType w:val="hybridMultilevel"/>
    <w:tmpl w:val="7D2A2E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566C1D"/>
    <w:multiLevelType w:val="hybridMultilevel"/>
    <w:tmpl w:val="AF7EF0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67AF723E"/>
    <w:multiLevelType w:val="hybridMultilevel"/>
    <w:tmpl w:val="7D2A2E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17"/>
  </w:num>
  <w:num w:numId="5">
    <w:abstractNumId w:val="12"/>
  </w:num>
  <w:num w:numId="6">
    <w:abstractNumId w:val="4"/>
  </w:num>
  <w:num w:numId="7">
    <w:abstractNumId w:val="14"/>
  </w:num>
  <w:num w:numId="8">
    <w:abstractNumId w:val="0"/>
  </w:num>
  <w:num w:numId="9">
    <w:abstractNumId w:val="11"/>
  </w:num>
  <w:num w:numId="10">
    <w:abstractNumId w:val="1"/>
  </w:num>
  <w:num w:numId="11">
    <w:abstractNumId w:val="10"/>
  </w:num>
  <w:num w:numId="12">
    <w:abstractNumId w:val="3"/>
  </w:num>
  <w:num w:numId="13">
    <w:abstractNumId w:val="9"/>
  </w:num>
  <w:num w:numId="14">
    <w:abstractNumId w:val="7"/>
  </w:num>
  <w:num w:numId="15">
    <w:abstractNumId w:val="8"/>
  </w:num>
  <w:num w:numId="16">
    <w:abstractNumId w:val="16"/>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2"/>
  <w:printFractionalCharacterWidth/>
  <w:hideSpellingErrors/>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EAC"/>
    <w:rsid w:val="000065A8"/>
    <w:rsid w:val="00007B6D"/>
    <w:rsid w:val="00013C33"/>
    <w:rsid w:val="000147BB"/>
    <w:rsid w:val="00035675"/>
    <w:rsid w:val="000467E0"/>
    <w:rsid w:val="00047426"/>
    <w:rsid w:val="00057134"/>
    <w:rsid w:val="000952DC"/>
    <w:rsid w:val="000A708E"/>
    <w:rsid w:val="000C1B14"/>
    <w:rsid w:val="000C593A"/>
    <w:rsid w:val="000D1557"/>
    <w:rsid w:val="000D3889"/>
    <w:rsid w:val="000D6323"/>
    <w:rsid w:val="000E727F"/>
    <w:rsid w:val="000F7CCC"/>
    <w:rsid w:val="0010641A"/>
    <w:rsid w:val="0012597C"/>
    <w:rsid w:val="00131C46"/>
    <w:rsid w:val="001479C1"/>
    <w:rsid w:val="00150789"/>
    <w:rsid w:val="00161126"/>
    <w:rsid w:val="001743A0"/>
    <w:rsid w:val="001A4207"/>
    <w:rsid w:val="001C2FB1"/>
    <w:rsid w:val="001D5510"/>
    <w:rsid w:val="001E3173"/>
    <w:rsid w:val="001F038B"/>
    <w:rsid w:val="001F5CEC"/>
    <w:rsid w:val="00201C93"/>
    <w:rsid w:val="002208A7"/>
    <w:rsid w:val="00221B24"/>
    <w:rsid w:val="002349E6"/>
    <w:rsid w:val="00240E5D"/>
    <w:rsid w:val="00263359"/>
    <w:rsid w:val="0028666A"/>
    <w:rsid w:val="00290D73"/>
    <w:rsid w:val="002921AA"/>
    <w:rsid w:val="00292489"/>
    <w:rsid w:val="002A6F13"/>
    <w:rsid w:val="002B4616"/>
    <w:rsid w:val="002B6B12"/>
    <w:rsid w:val="002C70B3"/>
    <w:rsid w:val="002E7E1E"/>
    <w:rsid w:val="00320A5A"/>
    <w:rsid w:val="00337257"/>
    <w:rsid w:val="00343781"/>
    <w:rsid w:val="00351C6C"/>
    <w:rsid w:val="00364477"/>
    <w:rsid w:val="00382160"/>
    <w:rsid w:val="0038759C"/>
    <w:rsid w:val="00394956"/>
    <w:rsid w:val="003B0270"/>
    <w:rsid w:val="003B45DC"/>
    <w:rsid w:val="003D7BEF"/>
    <w:rsid w:val="003F2BAD"/>
    <w:rsid w:val="003F7BA1"/>
    <w:rsid w:val="00402E59"/>
    <w:rsid w:val="0041035F"/>
    <w:rsid w:val="00410EDA"/>
    <w:rsid w:val="00415FAB"/>
    <w:rsid w:val="00422CFF"/>
    <w:rsid w:val="0042656A"/>
    <w:rsid w:val="0043366F"/>
    <w:rsid w:val="00441789"/>
    <w:rsid w:val="004421B0"/>
    <w:rsid w:val="004422B5"/>
    <w:rsid w:val="00452668"/>
    <w:rsid w:val="004649AE"/>
    <w:rsid w:val="004750C4"/>
    <w:rsid w:val="004D1EBF"/>
    <w:rsid w:val="004E72D0"/>
    <w:rsid w:val="004F324A"/>
    <w:rsid w:val="004F4239"/>
    <w:rsid w:val="004F7D4C"/>
    <w:rsid w:val="00500536"/>
    <w:rsid w:val="00504A09"/>
    <w:rsid w:val="00506A93"/>
    <w:rsid w:val="00532A09"/>
    <w:rsid w:val="00537536"/>
    <w:rsid w:val="005603E9"/>
    <w:rsid w:val="00564685"/>
    <w:rsid w:val="00576B43"/>
    <w:rsid w:val="00584CA9"/>
    <w:rsid w:val="00590B8F"/>
    <w:rsid w:val="005954A4"/>
    <w:rsid w:val="005B2FBA"/>
    <w:rsid w:val="005C56FA"/>
    <w:rsid w:val="005C7A37"/>
    <w:rsid w:val="005D6344"/>
    <w:rsid w:val="005E3BAC"/>
    <w:rsid w:val="005F0157"/>
    <w:rsid w:val="005F22D5"/>
    <w:rsid w:val="00626721"/>
    <w:rsid w:val="006305B0"/>
    <w:rsid w:val="00652213"/>
    <w:rsid w:val="00655A72"/>
    <w:rsid w:val="006670CB"/>
    <w:rsid w:val="006712F5"/>
    <w:rsid w:val="0068749E"/>
    <w:rsid w:val="006945ED"/>
    <w:rsid w:val="00695BF8"/>
    <w:rsid w:val="006A0DA9"/>
    <w:rsid w:val="006A5039"/>
    <w:rsid w:val="006A7B67"/>
    <w:rsid w:val="006B22CD"/>
    <w:rsid w:val="006B344D"/>
    <w:rsid w:val="006B4B26"/>
    <w:rsid w:val="006C493A"/>
    <w:rsid w:val="006C576D"/>
    <w:rsid w:val="006D34A0"/>
    <w:rsid w:val="006E0485"/>
    <w:rsid w:val="006E4B0C"/>
    <w:rsid w:val="007017ED"/>
    <w:rsid w:val="007102B0"/>
    <w:rsid w:val="007144BE"/>
    <w:rsid w:val="00716DF0"/>
    <w:rsid w:val="007458D9"/>
    <w:rsid w:val="0076589E"/>
    <w:rsid w:val="007874EB"/>
    <w:rsid w:val="007F6787"/>
    <w:rsid w:val="00800BC5"/>
    <w:rsid w:val="008064AE"/>
    <w:rsid w:val="00806EAC"/>
    <w:rsid w:val="008179EA"/>
    <w:rsid w:val="008206EE"/>
    <w:rsid w:val="00821BB4"/>
    <w:rsid w:val="00825C14"/>
    <w:rsid w:val="0083510C"/>
    <w:rsid w:val="0084402A"/>
    <w:rsid w:val="008638D4"/>
    <w:rsid w:val="008834A5"/>
    <w:rsid w:val="008924E2"/>
    <w:rsid w:val="00897207"/>
    <w:rsid w:val="008A32C2"/>
    <w:rsid w:val="008A59E9"/>
    <w:rsid w:val="008B49BD"/>
    <w:rsid w:val="008B51FB"/>
    <w:rsid w:val="008D1000"/>
    <w:rsid w:val="008D55FD"/>
    <w:rsid w:val="008E06DA"/>
    <w:rsid w:val="008F2768"/>
    <w:rsid w:val="0093397D"/>
    <w:rsid w:val="00936669"/>
    <w:rsid w:val="00942324"/>
    <w:rsid w:val="0096446F"/>
    <w:rsid w:val="00971EDC"/>
    <w:rsid w:val="009739A5"/>
    <w:rsid w:val="00977181"/>
    <w:rsid w:val="009866A3"/>
    <w:rsid w:val="00997704"/>
    <w:rsid w:val="009A2875"/>
    <w:rsid w:val="009A76B8"/>
    <w:rsid w:val="009B5DA9"/>
    <w:rsid w:val="009C206B"/>
    <w:rsid w:val="009D5D51"/>
    <w:rsid w:val="009E1DB0"/>
    <w:rsid w:val="009E5477"/>
    <w:rsid w:val="00A06EC3"/>
    <w:rsid w:val="00A10B57"/>
    <w:rsid w:val="00A11C09"/>
    <w:rsid w:val="00A14ADA"/>
    <w:rsid w:val="00A20A0E"/>
    <w:rsid w:val="00A23E05"/>
    <w:rsid w:val="00A245F7"/>
    <w:rsid w:val="00A51F28"/>
    <w:rsid w:val="00A82BB2"/>
    <w:rsid w:val="00A84095"/>
    <w:rsid w:val="00A95747"/>
    <w:rsid w:val="00AA1ADD"/>
    <w:rsid w:val="00AA42A1"/>
    <w:rsid w:val="00AB3C1D"/>
    <w:rsid w:val="00AC1559"/>
    <w:rsid w:val="00AD187C"/>
    <w:rsid w:val="00AE1D96"/>
    <w:rsid w:val="00AE6E60"/>
    <w:rsid w:val="00AE7DBA"/>
    <w:rsid w:val="00AF0340"/>
    <w:rsid w:val="00B03A61"/>
    <w:rsid w:val="00B107DA"/>
    <w:rsid w:val="00B171E8"/>
    <w:rsid w:val="00B314E2"/>
    <w:rsid w:val="00B53F0F"/>
    <w:rsid w:val="00B61610"/>
    <w:rsid w:val="00B76AEC"/>
    <w:rsid w:val="00B96C84"/>
    <w:rsid w:val="00BA3075"/>
    <w:rsid w:val="00BA7C88"/>
    <w:rsid w:val="00BA7FB6"/>
    <w:rsid w:val="00BC61CF"/>
    <w:rsid w:val="00BD62C8"/>
    <w:rsid w:val="00BE1A87"/>
    <w:rsid w:val="00BF1D96"/>
    <w:rsid w:val="00C01E25"/>
    <w:rsid w:val="00C03071"/>
    <w:rsid w:val="00C05E29"/>
    <w:rsid w:val="00C11370"/>
    <w:rsid w:val="00C16CD3"/>
    <w:rsid w:val="00C229D6"/>
    <w:rsid w:val="00C304C3"/>
    <w:rsid w:val="00C317E6"/>
    <w:rsid w:val="00C3686F"/>
    <w:rsid w:val="00C420DC"/>
    <w:rsid w:val="00C42D98"/>
    <w:rsid w:val="00C545ED"/>
    <w:rsid w:val="00C55529"/>
    <w:rsid w:val="00C671F1"/>
    <w:rsid w:val="00C80245"/>
    <w:rsid w:val="00C96332"/>
    <w:rsid w:val="00CA26F8"/>
    <w:rsid w:val="00CB0267"/>
    <w:rsid w:val="00CC3F5B"/>
    <w:rsid w:val="00CD131B"/>
    <w:rsid w:val="00CD4DFD"/>
    <w:rsid w:val="00CE0EAD"/>
    <w:rsid w:val="00CE3F56"/>
    <w:rsid w:val="00CF0A65"/>
    <w:rsid w:val="00D0139A"/>
    <w:rsid w:val="00D018E5"/>
    <w:rsid w:val="00D14BA0"/>
    <w:rsid w:val="00D3205E"/>
    <w:rsid w:val="00D37BAC"/>
    <w:rsid w:val="00D95372"/>
    <w:rsid w:val="00DA2193"/>
    <w:rsid w:val="00DA421A"/>
    <w:rsid w:val="00DC0A9C"/>
    <w:rsid w:val="00DC3C00"/>
    <w:rsid w:val="00DC5C7D"/>
    <w:rsid w:val="00E07575"/>
    <w:rsid w:val="00E3795C"/>
    <w:rsid w:val="00E55B86"/>
    <w:rsid w:val="00E676C3"/>
    <w:rsid w:val="00E72DC7"/>
    <w:rsid w:val="00E757D7"/>
    <w:rsid w:val="00E8137B"/>
    <w:rsid w:val="00E8259E"/>
    <w:rsid w:val="00E83536"/>
    <w:rsid w:val="00EA185B"/>
    <w:rsid w:val="00EA3109"/>
    <w:rsid w:val="00EC2508"/>
    <w:rsid w:val="00ED0868"/>
    <w:rsid w:val="00ED2B30"/>
    <w:rsid w:val="00EF2209"/>
    <w:rsid w:val="00F001F4"/>
    <w:rsid w:val="00F22581"/>
    <w:rsid w:val="00F250E7"/>
    <w:rsid w:val="00F2736A"/>
    <w:rsid w:val="00F33CF5"/>
    <w:rsid w:val="00F541E6"/>
    <w:rsid w:val="00F66C5A"/>
    <w:rsid w:val="00F70A17"/>
    <w:rsid w:val="00F747AD"/>
    <w:rsid w:val="00F75349"/>
    <w:rsid w:val="00F75FB6"/>
    <w:rsid w:val="00F837E6"/>
    <w:rsid w:val="00F87D85"/>
    <w:rsid w:val="00FA30CC"/>
    <w:rsid w:val="00FA7850"/>
    <w:rsid w:val="00FD69B5"/>
    <w:rsid w:val="00FE21F2"/>
    <w:rsid w:val="00FE61EF"/>
    <w:rsid w:val="00FF5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74B01"/>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266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4526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52668"/>
    <w:pPr>
      <w:pBdr>
        <w:top w:val="none" w:sz="0" w:space="0" w:color="auto"/>
      </w:pBdr>
      <w:spacing w:before="180"/>
      <w:outlineLvl w:val="1"/>
    </w:pPr>
    <w:rPr>
      <w:sz w:val="32"/>
    </w:rPr>
  </w:style>
  <w:style w:type="paragraph" w:styleId="Heading3">
    <w:name w:val="heading 3"/>
    <w:basedOn w:val="Heading2"/>
    <w:next w:val="Normal"/>
    <w:qFormat/>
    <w:rsid w:val="00452668"/>
    <w:pPr>
      <w:spacing w:before="120"/>
      <w:outlineLvl w:val="2"/>
    </w:pPr>
    <w:rPr>
      <w:sz w:val="28"/>
    </w:rPr>
  </w:style>
  <w:style w:type="paragraph" w:styleId="Heading4">
    <w:name w:val="heading 4"/>
    <w:basedOn w:val="Heading3"/>
    <w:next w:val="Normal"/>
    <w:qFormat/>
    <w:rsid w:val="00452668"/>
    <w:pPr>
      <w:ind w:left="1418" w:hanging="1418"/>
      <w:outlineLvl w:val="3"/>
    </w:pPr>
    <w:rPr>
      <w:sz w:val="24"/>
    </w:rPr>
  </w:style>
  <w:style w:type="paragraph" w:styleId="Heading5">
    <w:name w:val="heading 5"/>
    <w:basedOn w:val="Heading4"/>
    <w:next w:val="Normal"/>
    <w:qFormat/>
    <w:rsid w:val="00452668"/>
    <w:pPr>
      <w:ind w:left="1701" w:hanging="1701"/>
      <w:outlineLvl w:val="4"/>
    </w:pPr>
    <w:rPr>
      <w:sz w:val="22"/>
    </w:rPr>
  </w:style>
  <w:style w:type="paragraph" w:styleId="Heading6">
    <w:name w:val="heading 6"/>
    <w:basedOn w:val="H6"/>
    <w:next w:val="Normal"/>
    <w:qFormat/>
    <w:rsid w:val="00452668"/>
    <w:pPr>
      <w:outlineLvl w:val="5"/>
    </w:pPr>
  </w:style>
  <w:style w:type="paragraph" w:styleId="Heading7">
    <w:name w:val="heading 7"/>
    <w:basedOn w:val="H6"/>
    <w:next w:val="Normal"/>
    <w:qFormat/>
    <w:rsid w:val="00452668"/>
    <w:pPr>
      <w:outlineLvl w:val="6"/>
    </w:pPr>
  </w:style>
  <w:style w:type="paragraph" w:styleId="Heading8">
    <w:name w:val="heading 8"/>
    <w:basedOn w:val="Heading1"/>
    <w:next w:val="Normal"/>
    <w:qFormat/>
    <w:rsid w:val="00452668"/>
    <w:pPr>
      <w:ind w:left="0" w:firstLine="0"/>
      <w:outlineLvl w:val="7"/>
    </w:pPr>
  </w:style>
  <w:style w:type="paragraph" w:styleId="Heading9">
    <w:name w:val="heading 9"/>
    <w:basedOn w:val="Heading8"/>
    <w:next w:val="Normal"/>
    <w:qFormat/>
    <w:rsid w:val="00452668"/>
    <w:pPr>
      <w:outlineLvl w:val="8"/>
    </w:pPr>
  </w:style>
  <w:style w:type="character" w:default="1" w:styleId="DefaultParagraphFont">
    <w:name w:val="Default Paragraph Font"/>
    <w:semiHidden/>
    <w:rsid w:val="004526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2668"/>
  </w:style>
  <w:style w:type="paragraph" w:styleId="TOC8">
    <w:name w:val="toc 8"/>
    <w:basedOn w:val="TOC1"/>
    <w:semiHidden/>
    <w:rsid w:val="00452668"/>
    <w:pPr>
      <w:spacing w:before="180"/>
      <w:ind w:left="2693" w:hanging="2693"/>
    </w:pPr>
    <w:rPr>
      <w:b/>
    </w:rPr>
  </w:style>
  <w:style w:type="paragraph" w:styleId="TOC1">
    <w:name w:val="toc 1"/>
    <w:semiHidden/>
    <w:rsid w:val="004526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526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52668"/>
    <w:pPr>
      <w:ind w:left="1701" w:hanging="1701"/>
    </w:pPr>
  </w:style>
  <w:style w:type="paragraph" w:styleId="TOC4">
    <w:name w:val="toc 4"/>
    <w:basedOn w:val="TOC3"/>
    <w:semiHidden/>
    <w:rsid w:val="00452668"/>
    <w:pPr>
      <w:ind w:left="1418" w:hanging="1418"/>
    </w:pPr>
  </w:style>
  <w:style w:type="paragraph" w:styleId="TOC3">
    <w:name w:val="toc 3"/>
    <w:basedOn w:val="TOC2"/>
    <w:semiHidden/>
    <w:rsid w:val="00452668"/>
    <w:pPr>
      <w:ind w:left="1134" w:hanging="1134"/>
    </w:pPr>
  </w:style>
  <w:style w:type="paragraph" w:styleId="TOC2">
    <w:name w:val="toc 2"/>
    <w:basedOn w:val="TOC1"/>
    <w:semiHidden/>
    <w:rsid w:val="00452668"/>
    <w:pPr>
      <w:keepNext w:val="0"/>
      <w:spacing w:before="0"/>
      <w:ind w:left="851" w:hanging="851"/>
    </w:pPr>
    <w:rPr>
      <w:sz w:val="20"/>
    </w:rPr>
  </w:style>
  <w:style w:type="paragraph" w:styleId="Index2">
    <w:name w:val="index 2"/>
    <w:basedOn w:val="Index1"/>
    <w:semiHidden/>
    <w:rsid w:val="00452668"/>
    <w:pPr>
      <w:ind w:left="284"/>
    </w:pPr>
  </w:style>
  <w:style w:type="paragraph" w:styleId="Index1">
    <w:name w:val="index 1"/>
    <w:basedOn w:val="Normal"/>
    <w:semiHidden/>
    <w:rsid w:val="00452668"/>
    <w:pPr>
      <w:keepLines/>
      <w:spacing w:after="0"/>
    </w:pPr>
  </w:style>
  <w:style w:type="paragraph" w:customStyle="1" w:styleId="ZH">
    <w:name w:val="ZH"/>
    <w:rsid w:val="004526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52668"/>
    <w:pPr>
      <w:outlineLvl w:val="9"/>
    </w:pPr>
  </w:style>
  <w:style w:type="paragraph" w:styleId="ListNumber2">
    <w:name w:val="List Number 2"/>
    <w:basedOn w:val="ListNumber"/>
    <w:semiHidden/>
    <w:rsid w:val="00452668"/>
    <w:pPr>
      <w:ind w:left="851"/>
    </w:pPr>
  </w:style>
  <w:style w:type="paragraph" w:styleId="Header">
    <w:name w:val="header"/>
    <w:semiHidden/>
    <w:rsid w:val="0045266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52668"/>
    <w:rPr>
      <w:b/>
      <w:position w:val="6"/>
      <w:sz w:val="16"/>
    </w:rPr>
  </w:style>
  <w:style w:type="paragraph" w:styleId="FootnoteText">
    <w:name w:val="footnote text"/>
    <w:basedOn w:val="Normal"/>
    <w:semiHidden/>
    <w:rsid w:val="00452668"/>
    <w:pPr>
      <w:keepLines/>
      <w:spacing w:after="0"/>
      <w:ind w:left="454" w:hanging="454"/>
    </w:pPr>
    <w:rPr>
      <w:sz w:val="16"/>
    </w:rPr>
  </w:style>
  <w:style w:type="paragraph" w:customStyle="1" w:styleId="TAH">
    <w:name w:val="TAH"/>
    <w:basedOn w:val="TAC"/>
    <w:rsid w:val="00452668"/>
    <w:rPr>
      <w:b/>
    </w:rPr>
  </w:style>
  <w:style w:type="paragraph" w:customStyle="1" w:styleId="TAC">
    <w:name w:val="TAC"/>
    <w:basedOn w:val="TAL"/>
    <w:rsid w:val="00452668"/>
    <w:pPr>
      <w:jc w:val="center"/>
    </w:pPr>
  </w:style>
  <w:style w:type="paragraph" w:customStyle="1" w:styleId="TF">
    <w:name w:val="TF"/>
    <w:basedOn w:val="TH"/>
    <w:rsid w:val="00452668"/>
    <w:pPr>
      <w:keepNext w:val="0"/>
      <w:spacing w:before="0" w:after="240"/>
    </w:pPr>
  </w:style>
  <w:style w:type="paragraph" w:customStyle="1" w:styleId="NO">
    <w:name w:val="NO"/>
    <w:basedOn w:val="Normal"/>
    <w:rsid w:val="00452668"/>
    <w:pPr>
      <w:keepLines/>
      <w:ind w:left="1135" w:hanging="851"/>
    </w:pPr>
  </w:style>
  <w:style w:type="paragraph" w:styleId="TOC9">
    <w:name w:val="toc 9"/>
    <w:basedOn w:val="TOC8"/>
    <w:semiHidden/>
    <w:rsid w:val="00452668"/>
    <w:pPr>
      <w:ind w:left="1418" w:hanging="1418"/>
    </w:pPr>
  </w:style>
  <w:style w:type="paragraph" w:customStyle="1" w:styleId="EX">
    <w:name w:val="EX"/>
    <w:basedOn w:val="Normal"/>
    <w:rsid w:val="00452668"/>
    <w:pPr>
      <w:keepLines/>
      <w:ind w:left="1702" w:hanging="1418"/>
    </w:pPr>
  </w:style>
  <w:style w:type="paragraph" w:customStyle="1" w:styleId="FP">
    <w:name w:val="FP"/>
    <w:basedOn w:val="Normal"/>
    <w:rsid w:val="00452668"/>
    <w:pPr>
      <w:spacing w:after="0"/>
    </w:pPr>
  </w:style>
  <w:style w:type="paragraph" w:customStyle="1" w:styleId="LD">
    <w:name w:val="LD"/>
    <w:rsid w:val="004526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52668"/>
    <w:pPr>
      <w:spacing w:after="0"/>
    </w:pPr>
  </w:style>
  <w:style w:type="paragraph" w:customStyle="1" w:styleId="EW">
    <w:name w:val="EW"/>
    <w:basedOn w:val="EX"/>
    <w:rsid w:val="00452668"/>
    <w:pPr>
      <w:spacing w:after="0"/>
    </w:pPr>
  </w:style>
  <w:style w:type="paragraph" w:styleId="TOC6">
    <w:name w:val="toc 6"/>
    <w:basedOn w:val="TOC5"/>
    <w:next w:val="Normal"/>
    <w:semiHidden/>
    <w:rsid w:val="00452668"/>
    <w:pPr>
      <w:ind w:left="1985" w:hanging="1985"/>
    </w:pPr>
  </w:style>
  <w:style w:type="paragraph" w:styleId="TOC7">
    <w:name w:val="toc 7"/>
    <w:basedOn w:val="TOC6"/>
    <w:next w:val="Normal"/>
    <w:semiHidden/>
    <w:rsid w:val="00452668"/>
    <w:pPr>
      <w:ind w:left="2268" w:hanging="2268"/>
    </w:pPr>
  </w:style>
  <w:style w:type="paragraph" w:styleId="ListBullet2">
    <w:name w:val="List Bullet 2"/>
    <w:basedOn w:val="ListBullet"/>
    <w:semiHidden/>
    <w:rsid w:val="00452668"/>
    <w:pPr>
      <w:ind w:left="851"/>
    </w:pPr>
  </w:style>
  <w:style w:type="paragraph" w:styleId="ListBullet3">
    <w:name w:val="List Bullet 3"/>
    <w:basedOn w:val="ListBullet2"/>
    <w:semiHidden/>
    <w:rsid w:val="00452668"/>
    <w:pPr>
      <w:ind w:left="1135"/>
    </w:pPr>
  </w:style>
  <w:style w:type="paragraph" w:styleId="ListNumber">
    <w:name w:val="List Number"/>
    <w:basedOn w:val="List"/>
    <w:semiHidden/>
    <w:rsid w:val="00452668"/>
  </w:style>
  <w:style w:type="paragraph" w:customStyle="1" w:styleId="EQ">
    <w:name w:val="EQ"/>
    <w:basedOn w:val="Normal"/>
    <w:next w:val="Normal"/>
    <w:rsid w:val="00452668"/>
    <w:pPr>
      <w:keepLines/>
      <w:tabs>
        <w:tab w:val="center" w:pos="4536"/>
        <w:tab w:val="right" w:pos="9072"/>
      </w:tabs>
    </w:pPr>
    <w:rPr>
      <w:noProof/>
    </w:rPr>
  </w:style>
  <w:style w:type="paragraph" w:customStyle="1" w:styleId="TH">
    <w:name w:val="TH"/>
    <w:basedOn w:val="Normal"/>
    <w:rsid w:val="00452668"/>
    <w:pPr>
      <w:keepNext/>
      <w:keepLines/>
      <w:spacing w:before="60"/>
      <w:jc w:val="center"/>
    </w:pPr>
    <w:rPr>
      <w:rFonts w:ascii="Arial" w:hAnsi="Arial"/>
      <w:b/>
    </w:rPr>
  </w:style>
  <w:style w:type="paragraph" w:customStyle="1" w:styleId="NF">
    <w:name w:val="NF"/>
    <w:basedOn w:val="NO"/>
    <w:rsid w:val="00452668"/>
    <w:pPr>
      <w:keepNext/>
      <w:spacing w:after="0"/>
    </w:pPr>
    <w:rPr>
      <w:rFonts w:ascii="Arial" w:hAnsi="Arial"/>
      <w:sz w:val="18"/>
    </w:rPr>
  </w:style>
  <w:style w:type="paragraph" w:customStyle="1" w:styleId="PL">
    <w:name w:val="PL"/>
    <w:rsid w:val="00452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2668"/>
    <w:pPr>
      <w:jc w:val="right"/>
    </w:pPr>
  </w:style>
  <w:style w:type="paragraph" w:customStyle="1" w:styleId="H6">
    <w:name w:val="H6"/>
    <w:basedOn w:val="Heading5"/>
    <w:next w:val="Normal"/>
    <w:rsid w:val="00452668"/>
    <w:pPr>
      <w:ind w:left="1985" w:hanging="1985"/>
      <w:outlineLvl w:val="9"/>
    </w:pPr>
    <w:rPr>
      <w:sz w:val="20"/>
    </w:rPr>
  </w:style>
  <w:style w:type="paragraph" w:customStyle="1" w:styleId="TAN">
    <w:name w:val="TAN"/>
    <w:basedOn w:val="TAL"/>
    <w:rsid w:val="00452668"/>
    <w:pPr>
      <w:ind w:left="851" w:hanging="851"/>
    </w:pPr>
  </w:style>
  <w:style w:type="paragraph" w:customStyle="1" w:styleId="TAL">
    <w:name w:val="TAL"/>
    <w:basedOn w:val="Normal"/>
    <w:rsid w:val="00452668"/>
    <w:pPr>
      <w:keepNext/>
      <w:keepLines/>
      <w:spacing w:after="0"/>
    </w:pPr>
    <w:rPr>
      <w:rFonts w:ascii="Arial" w:hAnsi="Arial"/>
      <w:sz w:val="18"/>
    </w:rPr>
  </w:style>
  <w:style w:type="paragraph" w:customStyle="1" w:styleId="ZA">
    <w:name w:val="ZA"/>
    <w:rsid w:val="004526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26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26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526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2668"/>
    <w:pPr>
      <w:framePr w:wrap="notBeside" w:y="16161"/>
    </w:pPr>
  </w:style>
  <w:style w:type="character" w:customStyle="1" w:styleId="ZGSM">
    <w:name w:val="ZGSM"/>
    <w:rsid w:val="00452668"/>
  </w:style>
  <w:style w:type="paragraph" w:styleId="List2">
    <w:name w:val="List 2"/>
    <w:basedOn w:val="List"/>
    <w:semiHidden/>
    <w:rsid w:val="00452668"/>
    <w:pPr>
      <w:ind w:left="851"/>
    </w:pPr>
  </w:style>
  <w:style w:type="paragraph" w:customStyle="1" w:styleId="ZG">
    <w:name w:val="ZG"/>
    <w:rsid w:val="004526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52668"/>
    <w:pPr>
      <w:ind w:left="1135"/>
    </w:pPr>
  </w:style>
  <w:style w:type="paragraph" w:styleId="List4">
    <w:name w:val="List 4"/>
    <w:basedOn w:val="List3"/>
    <w:semiHidden/>
    <w:rsid w:val="00452668"/>
    <w:pPr>
      <w:ind w:left="1418"/>
    </w:pPr>
  </w:style>
  <w:style w:type="paragraph" w:styleId="List5">
    <w:name w:val="List 5"/>
    <w:basedOn w:val="List4"/>
    <w:semiHidden/>
    <w:rsid w:val="00452668"/>
    <w:pPr>
      <w:ind w:left="1702"/>
    </w:pPr>
  </w:style>
  <w:style w:type="paragraph" w:customStyle="1" w:styleId="EditorsNote">
    <w:name w:val="Editor's Note"/>
    <w:basedOn w:val="NO"/>
    <w:rsid w:val="00452668"/>
    <w:rPr>
      <w:color w:val="FF0000"/>
    </w:rPr>
  </w:style>
  <w:style w:type="paragraph" w:styleId="List">
    <w:name w:val="List"/>
    <w:basedOn w:val="Normal"/>
    <w:semiHidden/>
    <w:rsid w:val="00452668"/>
    <w:pPr>
      <w:ind w:left="568" w:hanging="284"/>
    </w:pPr>
  </w:style>
  <w:style w:type="paragraph" w:styleId="ListBullet">
    <w:name w:val="List Bullet"/>
    <w:basedOn w:val="List"/>
    <w:semiHidden/>
    <w:rsid w:val="00452668"/>
  </w:style>
  <w:style w:type="paragraph" w:styleId="ListBullet4">
    <w:name w:val="List Bullet 4"/>
    <w:basedOn w:val="ListBullet3"/>
    <w:semiHidden/>
    <w:rsid w:val="00452668"/>
    <w:pPr>
      <w:ind w:left="1418"/>
    </w:pPr>
  </w:style>
  <w:style w:type="paragraph" w:styleId="ListBullet5">
    <w:name w:val="List Bullet 5"/>
    <w:basedOn w:val="ListBullet4"/>
    <w:semiHidden/>
    <w:rsid w:val="00452668"/>
    <w:pPr>
      <w:ind w:left="1702"/>
    </w:pPr>
  </w:style>
  <w:style w:type="paragraph" w:customStyle="1" w:styleId="B1">
    <w:name w:val="B1"/>
    <w:basedOn w:val="List"/>
    <w:rsid w:val="00452668"/>
  </w:style>
  <w:style w:type="paragraph" w:customStyle="1" w:styleId="B2">
    <w:name w:val="B2"/>
    <w:basedOn w:val="List2"/>
    <w:rsid w:val="00452668"/>
  </w:style>
  <w:style w:type="paragraph" w:customStyle="1" w:styleId="B3">
    <w:name w:val="B3"/>
    <w:basedOn w:val="List3"/>
    <w:rsid w:val="00452668"/>
  </w:style>
  <w:style w:type="paragraph" w:customStyle="1" w:styleId="B4">
    <w:name w:val="B4"/>
    <w:basedOn w:val="List4"/>
    <w:rsid w:val="00452668"/>
  </w:style>
  <w:style w:type="paragraph" w:customStyle="1" w:styleId="B5">
    <w:name w:val="B5"/>
    <w:basedOn w:val="List5"/>
    <w:rsid w:val="00452668"/>
  </w:style>
  <w:style w:type="paragraph" w:styleId="Footer">
    <w:name w:val="footer"/>
    <w:basedOn w:val="Header"/>
    <w:semiHidden/>
    <w:rsid w:val="00452668"/>
    <w:pPr>
      <w:jc w:val="center"/>
    </w:pPr>
    <w:rPr>
      <w:i/>
    </w:rPr>
  </w:style>
  <w:style w:type="paragraph" w:customStyle="1" w:styleId="ZTD">
    <w:name w:val="ZTD"/>
    <w:basedOn w:val="ZB"/>
    <w:rsid w:val="00452668"/>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basedOn w:val="Normal"/>
    <w:uiPriority w:val="34"/>
    <w:qFormat/>
    <w:rsid w:val="002349E6"/>
    <w:pPr>
      <w:ind w:left="720"/>
      <w:contextualSpacing/>
    </w:pPr>
  </w:style>
  <w:style w:type="paragraph" w:styleId="Caption">
    <w:name w:val="caption"/>
    <w:basedOn w:val="Normal"/>
    <w:next w:val="Normal"/>
    <w:uiPriority w:val="35"/>
    <w:unhideWhenUsed/>
    <w:qFormat/>
    <w:rsid w:val="00B96C84"/>
    <w:pPr>
      <w:spacing w:after="200"/>
    </w:pPr>
    <w:rPr>
      <w:i/>
      <w:iCs/>
      <w:color w:val="44546A" w:themeColor="text2"/>
      <w:sz w:val="18"/>
      <w:szCs w:val="18"/>
    </w:rPr>
  </w:style>
  <w:style w:type="table" w:styleId="TableGrid">
    <w:name w:val="Table Grid"/>
    <w:basedOn w:val="TableNormal"/>
    <w:uiPriority w:val="39"/>
    <w:rsid w:val="00161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802163">
      <w:bodyDiv w:val="1"/>
      <w:marLeft w:val="0"/>
      <w:marRight w:val="0"/>
      <w:marTop w:val="0"/>
      <w:marBottom w:val="0"/>
      <w:divBdr>
        <w:top w:val="none" w:sz="0" w:space="0" w:color="auto"/>
        <w:left w:val="none" w:sz="0" w:space="0" w:color="auto"/>
        <w:bottom w:val="none" w:sz="0" w:space="0" w:color="auto"/>
        <w:right w:val="none" w:sz="0" w:space="0" w:color="auto"/>
      </w:divBdr>
    </w:div>
    <w:div w:id="1879973650">
      <w:bodyDiv w:val="1"/>
      <w:marLeft w:val="0"/>
      <w:marRight w:val="0"/>
      <w:marTop w:val="0"/>
      <w:marBottom w:val="0"/>
      <w:divBdr>
        <w:top w:val="none" w:sz="0" w:space="0" w:color="auto"/>
        <w:left w:val="none" w:sz="0" w:space="0" w:color="auto"/>
        <w:bottom w:val="none" w:sz="0" w:space="0" w:color="auto"/>
        <w:right w:val="none" w:sz="0" w:space="0" w:color="auto"/>
      </w:divBdr>
    </w:div>
    <w:div w:id="200130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7F54-590D-4673-9C15-E510AD764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2897</TotalTime>
  <Pages>8</Pages>
  <Words>2503</Words>
  <Characters>14271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109</cp:revision>
  <cp:lastPrinted>1900-01-01T05:00:00Z</cp:lastPrinted>
  <dcterms:created xsi:type="dcterms:W3CDTF">2019-08-15T01:23:00Z</dcterms:created>
  <dcterms:modified xsi:type="dcterms:W3CDTF">2019-08-17T02:01:00Z</dcterms:modified>
</cp:coreProperties>
</file>